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both"/>
      </w:pPr>
      <w:r>
        <w:rPr>
          <w:i/>
        </w:rPr>
        <w:t>[Author One] ([Matric No.]) and [Author Two] ([Matric No.])</w:t>
      </w:r>
    </w:p>
    <w:p>
      <w:pPr>
        <w:jc w:val="center"/>
      </w:pPr>
      <w:r>
        <w:rPr>
          <w:i/>
        </w:rPr>
        <w:t>CM3254 group project · MSc Industrial Chemistry, National University of Singapore · [Date]</w:t>
      </w:r>
    </w:p>
    <w:p>
      <w:r>
        <w:rPr>
          <w:b/>
          <w:i/>
        </w:rPr>
        <w:t>AI Tool Declaration.</w:t>
      </w:r>
      <w:r>
        <w:rPr>
          <w:b w:val="0"/>
          <w:i/>
        </w:rPr>
        <w:t xml:space="preserve"> We used Claude (Anthropic) to draft and revise prose, to write the Python/RDKit/Matplotlib code that generates the figures, to find and cross-check references against Crossref, and to condense the report. The authors checked all chemistry, data and arguments and are responsible for the content and quality of the submitted work.</w:t>
      </w:r>
    </w:p>
    <w:p>
      <w:pPr>
        <w:pStyle w:val="Heading1"/>
      </w:pPr>
      <w:r>
        <w:t>Abstract</w:t>
      </w:r>
    </w:p>
    <w:p>
      <w:pPr>
        <w:jc w:val="both"/>
      </w:pPr>
      <w:r>
        <w:rPr>
          <w:b w:val="0"/>
          <w:i w:val="0"/>
        </w:rPr>
        <w:t>Biopolymers are made from or derived from renewable resources. The main families are the polysaccharides, the proteins, the biopolyesters, lignin and natural rubber. They are candidate replacements for petrochemical plastics, but their properties, and the limits on those properties, follow directly from the chemistry of the polymer backbone. This review classifies the families by the repeating linkage in that backbone rather than by biological origin. For each material it gives the key property and the use first, then the structural reason. Three patterns hold across the families. First, the performance ceiling is set by thermal behaviour and water sensitivity, not by strength. Second, crystallinity controls a three-way trade-off: the same crystallinity that makes a material stiff also keeps water out and slows the hydrolysis or enzyme attack that would degrade it, so improving one property tends to worsen the other two. Third, a reported molecular weight is only useful when the method used to measure it is reported too. A short case study of natural rubber against synthetic SBR shows the same backbone-versus-formulation trade-off inside one application. Every figure is generated by code from cited data and from chemical structures that a script checks against their expected stereochemistry.</w:t>
      </w:r>
    </w:p>
    <w:p>
      <w:pPr>
        <w:jc w:val="both"/>
      </w:pPr>
      <w:r>
        <w:rPr>
          <w:b/>
          <w:i w:val="0"/>
        </w:rPr>
        <w:t>Keywords:</w:t>
      </w:r>
      <w:r>
        <w:rPr>
          <w:b w:val="0"/>
          <w:i w:val="0"/>
        </w:rPr>
        <w:t xml:space="preserve"> biopolymers; cellulose; poly(lactic acid); polyhydroxyalkanoates; molecular-weight distribution; biodegradation; structure-property relationships</w:t>
      </w:r>
    </w:p>
    <w:p>
      <w:pPr>
        <w:pStyle w:val="Heading1"/>
      </w:pPr>
      <w:r>
        <w:t>1. Introduction and Definition</w:t>
      </w:r>
    </w:p>
    <w:p>
      <w:pPr>
        <w:jc w:val="both"/>
      </w:pPr>
      <w:r>
        <w:rPr>
          <w:b w:val="0"/>
          <w:i w:val="0"/>
        </w:rPr>
        <w:t xml:space="preserve">A biopolymer is a large molecule made by a living organism. The polysaccharides, the proteins, the nucleic acids, </w:t>
      </w:r>
      <w:r>
        <w:rPr>
          <w:i/>
        </w:rPr>
        <w:t>cis</w:t>
      </w:r>
      <w:r>
        <w:rPr>
          <w:b w:val="0"/>
          <w:i w:val="0"/>
        </w:rPr>
        <w:t>-1,4-polyisoprene and lignin together make up most of the organic polymer on Earth [1]. This report also covers polymers that are made by polymerising a monomer taken from biomass. The main example is poly(lactic acid), PLA. Its properties are easiest to understand next to the true biopolymers, so it is treated with them here.</w:t>
      </w:r>
    </w:p>
    <w:p>
      <w:pPr>
        <w:jc w:val="both"/>
      </w:pPr>
      <w:r>
        <w:rPr>
          <w:b w:val="0"/>
          <w:i w:val="0"/>
        </w:rPr>
        <w:t>Three features of these chains separate them from synthetic polymers. First, biosynthesis works from a template, so it fixes the chain length and the sequence exactly; proteins and nucleic acids are perfectly uniform (Đ = 1.00). Second, the monomer supply in a cell is a single enantiomer, so the chains are stereoregular without any effort. Third, almost every repeat unit carries a hydroxyl, amide or carbonyl group, which makes the chains stick to each other far more strongly than polyethylene or polypropylene chains do. Every property and every limit discussed below comes from these three features. They give high stiffness and high crystallinity, but also brittleness, sensitivity to water, and a decomposition temperature that is close to, or below, the melting point (§5.4).</w:t>
      </w:r>
    </w:p>
    <w:p>
      <w:pPr>
        <w:jc w:val="both"/>
      </w:pPr>
      <w:r>
        <w:rPr>
          <w:b w:val="0"/>
          <w:i w:val="0"/>
        </w:rPr>
        <w:t>The review moves from classification (§2) and the family-by-family survey (§3) to molecular weight (§4), the property patterns shared by all the families (§5), the comparison with synthetic polymers (§6) and applications (§7).</w:t>
      </w:r>
    </w:p>
    <w:p>
      <w:pPr>
        <w:pStyle w:val="Heading1"/>
      </w:pPr>
      <w:r>
        <w:t>2. Types of Biopolymers</w:t>
      </w:r>
    </w:p>
    <w:p>
      <w:pPr>
        <w:jc w:val="both"/>
      </w:pPr>
      <w:r>
        <w:rPr>
          <w:b w:val="0"/>
          <w:i w:val="0"/>
        </w:rPr>
        <w:t>Biopolymers are usually sorted first by origin: extracted from biomass, made by micro-organisms, or polymerised from a bio-based monomer. Origin is a poor guide to behaviour, though. Two materials of the same origin can process and degrade in completely different ways, and two of different origins can behave the same. The repeating linkage in the backbone is a better guide, because it decides whether the material survives melting and how it degrades. This review is therefore organised by backbone chemistry (Table 1). Origin is kept only as a small label on each material, because it still explains why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pStyle w:val="Heading1"/>
      </w:pPr>
      <w:r>
        <w:t>3. Structure-Property Relationships of the Major Biopolymer Families</w:t>
      </w:r>
    </w:p>
    <w:p>
      <w:pPr>
        <w:jc w:val="both"/>
      </w:pPr>
      <w:r>
        <w:rPr>
          <w:b w:val="0"/>
          <w:i w:val="0"/>
        </w:rPr>
        <w:t>For each material below, the key property and its use come first, then the structural reason. The point tested throughout is that backbone chemistry, not biological origin, predicts melting behaviour, attack by water or enzymes, and mechanical performance. Numbers are in Table 2; Fig. 1 gives the force, consequence and limitation for each family on one row; Fig. 2 collects the repeat units and Fig. 3 the higher-order structures.</w:t>
      </w:r>
    </w:p>
    <w:p>
      <w:pPr>
        <w:keepNext/>
        <w:spacing w:after="40"/>
        <w:jc w:val="center"/>
      </w:pPr>
      <w:r>
        <w:drawing>
          <wp:inline xmlns:a="http://schemas.openxmlformats.org/drawingml/2006/main" xmlns:pic="http://schemas.openxmlformats.org/drawingml/2006/picture">
            <wp:extent cx="5029200" cy="3801649"/>
            <wp:docPr id="1" name="Picture 1"/>
            <wp:cNvGraphicFramePr>
              <a:graphicFrameLocks noChangeAspect="1"/>
            </wp:cNvGraphicFramePr>
            <a:graphic>
              <a:graphicData uri="http://schemas.openxmlformats.org/drawingml/2006/picture">
                <pic:pic>
                  <pic:nvPicPr>
                    <pic:cNvPr id="0" name="fig7_causality_chain.png"/>
                    <pic:cNvPicPr/>
                  </pic:nvPicPr>
                  <pic:blipFill>
                    <a:blip r:embed="rId10"/>
                    <a:stretch>
                      <a:fillRect/>
                    </a:stretch>
                  </pic:blipFill>
                  <pic:spPr>
                    <a:xfrm>
                      <a:off x="0" y="0"/>
                      <a:ext cx="5029200" cy="3801649"/>
                    </a:xfrm>
                    <a:prstGeom prst="rect"/>
                  </pic:spPr>
                </pic:pic>
              </a:graphicData>
            </a:graphic>
          </wp:inline>
        </w:drawing>
      </w:r>
    </w:p>
    <w:p>
      <w:pPr>
        <w:spacing w:line="240" w:lineRule="auto" w:after="80"/>
        <w:jc w:val="center"/>
      </w:pPr>
      <w:r>
        <w:rPr>
          <w:i/>
          <w:sz w:val="20"/>
        </w:rPr>
        <w:t>Figure 1. Structure-to-property chain, one row per family. Each row reads left to right from the dominant intermolecular force, to the key consequence, to the key limitation. The five backbone classes of Table 1 appear as seven rows, because polysaccharides and polyesters are each split into two members that behave differently. Colour follows the backbone-chemistry class.</w:t>
      </w:r>
    </w:p>
    <w:p>
      <w:pPr>
        <w:pStyle w:val="Heading2"/>
      </w:pPr>
      <w:r>
        <w:t>3.1 Polysaccharides</w:t>
      </w:r>
    </w:p>
    <w:p>
      <w:pPr>
        <w:jc w:val="both"/>
      </w:pPr>
      <w:r>
        <w:rPr>
          <w:b/>
          <w:i w:val="0"/>
        </w:rPr>
        <w:t>Cellulose</w:t>
      </w:r>
      <w:r>
        <w:rPr>
          <w:b w:val="0"/>
          <w:i w:val="0"/>
        </w:rPr>
        <w:t xml:space="preserve"> is the stiffest material in this review: an axial crystal modulus of about 130 to 150 GPa, and regenerated fibres of 10 to 30 GPa [35]. It never melts and decomposes near 300 °C. With no melt step, it is shaped from solution, as Lyocell and viscose fibre [36], transparent film, and nanocrystals or nanofibrils used as reinforcing filler [2]. The reason is structural. The linear β-(1→4) chain (Fig. 2a) forms a flat ribbon, and hydrogen bonds lock these ribbons into stacked Iα and Iβ sheets (Fig. 3a). The energy holding the sheets together exceeds the backbone bond strength [33,34], so cellulose dissolves only in solvents that break the hydrogen-bond network, such as NMMO in the Lyocell process [37] or LiCl in DMAc.</w:t>
      </w:r>
    </w:p>
    <w:p>
      <w:pPr>
        <w:jc w:val="both"/>
      </w:pPr>
      <w:r>
        <w:rPr>
          <w:b/>
          <w:i w:val="0"/>
        </w:rPr>
        <w:t>Starch</w:t>
      </w:r>
      <w:r>
        <w:rPr>
          <w:b w:val="0"/>
          <w:i w:val="0"/>
        </w:rPr>
        <w:t>, plasticised into thermoplastic starch, is soft and cheap (modulus 0.02 to 1 GPa). It is humidity-sensitive and recrystallises slowly on storage (retrogradation) [38], so it is used mostly in blends with PLA or PBAT, for compostable bags, foamed trays and mulch film. The cause is chain arrangement, not chemistry. Linear amylose and branched amylopectin together give only a weak, humidity-reversible crystallinity, and the amylose coils into a helix that water can enter and plasticise (Fig. 3b).</w:t>
      </w:r>
    </w:p>
    <w:p>
      <w:pPr>
        <w:jc w:val="both"/>
      </w:pPr>
      <w:r>
        <w:rPr>
          <w:b/>
          <w:i w:val="0"/>
        </w:rPr>
        <w:t>Chitosan</w:t>
      </w:r>
      <w:r>
        <w:rPr>
          <w:b w:val="0"/>
          <w:i w:val="0"/>
        </w:rPr>
        <w:t xml:space="preserve"> is used less for its mechanical properties (film modulus 1 to 4 GPa) than for being a polycation in dilute acid. That makes it antimicrobial, metal-binding and mucoadhesive, so it is used in wound dressings, antimicrobial coatings and water treatment [39]. Its degree of deacetylation sets solubility and charge. Raising it in alkali also cuts the backbone, so high-deacetylation grades have a low molecular weight [3].</w:t>
      </w:r>
    </w:p>
    <w:p>
      <w:pPr>
        <w:jc w:val="both"/>
      </w:pPr>
      <w:r>
        <w:rPr>
          <w:b/>
          <w:i w:val="0"/>
        </w:rPr>
        <w:t>Alginate</w:t>
      </w:r>
      <w:r>
        <w:rPr>
          <w:b w:val="0"/>
          <w:i w:val="0"/>
        </w:rPr>
        <w:t xml:space="preserve"> forms a soft ionic gel at room temperature when Ca²⁺ ions bridge its guluronate blocks in an "egg-box" junction [4] (Fig. 3c); a chelating agent reverses it. This is the basis of alginate hydrogels for wound dressings, cell encapsulation and bioprinting, and of its use as a food thickener. The fraction of guluronate blocks sets the balance between stiffness and brittleness (§7). Hyaluronic acid, carrageenan, xanthan and pectin follow the same linkage-chemistry logic.</w:t>
      </w:r>
    </w:p>
    <w:p>
      <w:pPr>
        <w:keepNext/>
        <w:spacing w:after="40"/>
        <w:jc w:val="center"/>
      </w:pPr>
      <w:r>
        <w:drawing>
          <wp:inline xmlns:a="http://schemas.openxmlformats.org/drawingml/2006/main" xmlns:pic="http://schemas.openxmlformats.org/drawingml/2006/picture">
            <wp:extent cx="5029200" cy="3076392"/>
            <wp:docPr id="2" name="Picture 2"/>
            <wp:cNvGraphicFramePr>
              <a:graphicFrameLocks noChangeAspect="1"/>
            </wp:cNvGraphicFramePr>
            <a:graphic>
              <a:graphicData uri="http://schemas.openxmlformats.org/drawingml/2006/picture">
                <pic:pic>
                  <pic:nvPicPr>
                    <pic:cNvPr id="0" name="fig_repeat_units_all.png"/>
                    <pic:cNvPicPr/>
                  </pic:nvPicPr>
                  <pic:blipFill>
                    <a:blip r:embed="rId11"/>
                    <a:stretch>
                      <a:fillRect/>
                    </a:stretch>
                  </pic:blipFill>
                  <pic:spPr>
                    <a:xfrm>
                      <a:off x="0" y="0"/>
                      <a:ext cx="5029200" cy="3076392"/>
                    </a:xfrm>
                    <a:prstGeom prst="rect"/>
                  </pic:spPr>
                </pic:pic>
              </a:graphicData>
            </a:graphic>
          </wp:inline>
        </w:drawing>
      </w:r>
    </w:p>
    <w:p>
      <w:pPr>
        <w:spacing w:line="240" w:lineRule="auto" w:after="80"/>
        <w:jc w:val="center"/>
      </w:pPr>
      <w:r>
        <w:rPr>
          <w:i/>
          <w:sz w:val="20"/>
        </w:rPr>
        <w:t>Figure 2. Repeat units, drawn by the authors with RDKit from stereochemistry-checked SMILES, coloured by backbone class. Polysaccharides (a) to (e): cellulose, amylose, chitosan, alginate M, alginate G; (a) and (b) differ only at C1, (d) and (e) only at C5. Polyesters (f) to (g): PHB, PLLA, with (R) and (S) marked. Proteins (h) to (i): silk fibroin (Gly-Ala)ₙ, collagen Gly-Pro-Hyp. Lignin precursors (j) to (l): p-coumaryl, coniferyl and sinapyl alcohol (0, 1, 2 methoxy groups). Rubber (m): cis-1,4-polyisoprene. Alginate G is verified only as the C5 epimer of M; cross-check before submission.</w:t>
      </w:r>
    </w:p>
    <w:p>
      <w:pPr>
        <w:pStyle w:val="Heading2"/>
      </w:pPr>
      <w:r>
        <w:t>3.2 Polyesters: PHA and PLA</w:t>
      </w:r>
    </w:p>
    <w:p>
      <w:pPr>
        <w:jc w:val="both"/>
      </w:pPr>
      <w:r>
        <w:rPr>
          <w:b/>
          <w:i w:val="0"/>
        </w:rPr>
        <w:t>PHA</w:t>
      </w:r>
      <w:r>
        <w:rPr>
          <w:b w:val="0"/>
          <w:i w:val="0"/>
        </w:rPr>
        <w:t xml:space="preserve"> is a stiff (1.5 to 4 GPa), brittle (2 to 8% elongation) thermoplastic that is fully biodegradable, used for rigid packaging, coatings and compostable items. PHB is the archetype (Fig. 3f). Its processing window is the narrowest in this review, about 25 °C, because PHB decomposes by a six-membered-ring </w:t>
      </w:r>
      <w:r>
        <w:rPr>
          <w:i/>
        </w:rPr>
        <w:t>cis</w:t>
      </w:r>
      <w:r>
        <w:rPr>
          <w:b w:val="0"/>
          <w:i w:val="0"/>
        </w:rPr>
        <w:t xml:space="preserve">-elimination just above its melting point [5]. PHBV and PHBHHx copolymers widen the window to about 55 °C at the cost of stiffness. </w:t>
      </w:r>
      <w:r>
        <w:rPr>
          <w:b/>
          <w:i w:val="0"/>
        </w:rPr>
        <w:t>PLA</w:t>
      </w:r>
      <w:r>
        <w:rPr>
          <w:b w:val="0"/>
          <w:i w:val="0"/>
        </w:rPr>
        <w:t xml:space="preserve"> is the main bio-based plastic in use today: the filament for 3D printing, and a material for food serviceware, fibre and resorbable sutures (as PLGA). Its modulus is 2.5 to 4 GPa, but its low glass transition of about 60 °C sets a low heat ceiling (§6.2). A useful molecular weight needs ring-opening polymerisation of lactide, catalysed by Sn(Oct)₂ [40,41]. A PLLA/PDLA stereocomplex melts about 50 °C higher, because the two enantiomers pack together more tightly [6,7]. Both polymers pack as helices that still melt (Fig. 3d). PBS and PEF follow the same ester logic (§7).</w:t>
      </w:r>
    </w:p>
    <w:p>
      <w:pPr>
        <w:pStyle w:val="Heading2"/>
      </w:pPr>
      <w:r>
        <w:t>3.3 Protein-based Polymers</w:t>
      </w:r>
    </w:p>
    <w:p>
      <w:pPr>
        <w:jc w:val="both"/>
      </w:pPr>
      <w:r>
        <w:rPr>
          <w:b/>
          <w:i w:val="0"/>
        </w:rPr>
        <w:t>Silk fibroin</w:t>
      </w:r>
      <w:r>
        <w:rPr>
          <w:b w:val="0"/>
          <w:i w:val="0"/>
        </w:rPr>
        <w:t xml:space="preserve"> (Fig. 2h) is strong and tough at once, which is rare for any polymer, so it is used as a premium suture and tissue-scaffold material and as a model tough fibre. The toughness comes from β-sheet nanocrystallites, 2 to 4 nm across, held in a soft amorphous matrix (Fig. 3e) [8]. </w:t>
      </w:r>
      <w:r>
        <w:rPr>
          <w:b/>
          <w:i w:val="0"/>
        </w:rPr>
        <w:t>Collagen</w:t>
      </w:r>
      <w:r>
        <w:rPr>
          <w:b w:val="0"/>
          <w:i w:val="0"/>
        </w:rPr>
        <w:t xml:space="preserve"> and its denatured form </w:t>
      </w:r>
      <w:r>
        <w:rPr>
          <w:b/>
          <w:i w:val="0"/>
        </w:rPr>
        <w:t>gelatin</w:t>
      </w:r>
      <w:r>
        <w:rPr>
          <w:b w:val="0"/>
          <w:i w:val="0"/>
        </w:rPr>
        <w:t xml:space="preserve"> are used as hydrogels, tissue scaffolds and encapsulants. Collagen has a Gly-X-Y triple helix (Fig. 3f) stabilised by a stereoelectronic effect from hydroxyproline [45]; on heating it unfolds into gelatin and does not refold. Zein, casein and soy proteins form films but are not structural (§7). Every protein chain is built on a ribosomal template, so all chains have the same length (Đ = 1.0), which no non-templated biopolymer matches (§4).</w:t>
      </w:r>
    </w:p>
    <w:p>
      <w:pPr>
        <w:keepNext/>
        <w:spacing w:after="40"/>
        <w:jc w:val="center"/>
      </w:pPr>
      <w:r>
        <w:drawing>
          <wp:inline xmlns:a="http://schemas.openxmlformats.org/drawingml/2006/main" xmlns:pic="http://schemas.openxmlformats.org/drawingml/2006/picture">
            <wp:extent cx="5029200" cy="2366167"/>
            <wp:docPr id="3" name="Picture 3"/>
            <wp:cNvGraphicFramePr>
              <a:graphicFrameLocks noChangeAspect="1"/>
            </wp:cNvGraphicFramePr>
            <a:graphic>
              <a:graphicData uri="http://schemas.openxmlformats.org/drawingml/2006/picture">
                <pic:pic>
                  <pic:nvPicPr>
                    <pic:cNvPr id="0" name="fig_higher_order_all.png"/>
                    <pic:cNvPicPr/>
                  </pic:nvPicPr>
                  <pic:blipFill>
                    <a:blip r:embed="rId12"/>
                    <a:stretch>
                      <a:fillRect/>
                    </a:stretch>
                  </pic:blipFill>
                  <pic:spPr>
                    <a:xfrm>
                      <a:off x="0" y="0"/>
                      <a:ext cx="5029200" cy="2366167"/>
                    </a:xfrm>
                    <a:prstGeom prst="rect"/>
                  </pic:spPr>
                </pic:pic>
              </a:graphicData>
            </a:graphic>
          </wp:inline>
        </w:drawing>
      </w:r>
    </w:p>
    <w:p>
      <w:pPr>
        <w:spacing w:line="240" w:lineRule="auto" w:after="80"/>
        <w:jc w:val="center"/>
      </w:pPr>
      <w:r>
        <w:rPr>
          <w:i/>
          <w:sz w:val="20"/>
        </w:rPr>
        <w:t>Figure 3. Higher-order structure, drawn by the authors: (a) cellulose ribbon, then hydrogen-bonded sheet, then Iα/Iβ crystal; (b) amylose left-handed helix; (c) alginate Ca²⁺ "egg-box" G-block junction; (d) PHA and PLA helical packing (PHB 2₁, PLLA 10₃); (e) silk antiparallel β-sheet nanocrystallites (2 to 4 nm) in an amorphous matrix; (f) collagen Gly-X-Y triple helix, with glycine at every third position. Each structure is discussed in §3.1 to §3.5.</w:t>
      </w:r>
    </w:p>
    <w:p>
      <w:pPr>
        <w:pStyle w:val="Heading2"/>
      </w:pPr>
      <w:r>
        <w:t>3.4 Lignin</w:t>
      </w:r>
    </w:p>
    <w:p>
      <w:pPr>
        <w:jc w:val="both"/>
      </w:pPr>
      <w:r>
        <w:rPr>
          <w:b/>
          <w:i w:val="0"/>
        </w:rPr>
        <w:t>Lignin</w:t>
      </w:r>
      <w:r>
        <w:rPr>
          <w:b w:val="0"/>
          <w:i w:val="0"/>
        </w:rPr>
        <w:t xml:space="preserve"> is the second most abundant biopolymer on land and a low-cost by-product of pulping. It is used as a filler, as a carbon-fibre precursor and as an antioxidant or UV additive, and there is active work on using it to replace part of the phenol-formaldehyde resin in wood products. Lignin has no single structure-property relationship. Radical coupling of the three monolignols (Fig. 2j–l) builds an irregular cross-linked network with no repeating chain. The β-O-4 ether accounts for about 45 to 60% of the linkages [9]. The composition changes with the plant species and with the extraction method, which may be kraft, organosolv or lignosulfonate [54].</w:t>
      </w:r>
    </w:p>
    <w:p>
      <w:pPr>
        <w:pStyle w:val="Heading2"/>
      </w:pPr>
      <w:r>
        <w:t>3.5 Natural Rubber</w:t>
      </w:r>
    </w:p>
    <w:p>
      <w:pPr>
        <w:jc w:val="both"/>
      </w:pPr>
      <w:r>
        <w:rPr>
          <w:b/>
          <w:i w:val="0"/>
        </w:rPr>
        <w:t>Natural rubber</w:t>
      </w:r>
      <w:r>
        <w:rPr>
          <w:b w:val="0"/>
          <w:i w:val="0"/>
        </w:rPr>
        <w:t xml:space="preserve"> has almost no modulus at rest (0.001 to 0.005 GPa). Under load it has excellent tear and fatigue resistance. That is why it is still used in tyres, engine mounts, gloves and adhesives despite synthetic competition. The stiffness is produced on demand. Relaxed </w:t>
      </w:r>
      <w:r>
        <w:rPr>
          <w:i/>
        </w:rPr>
        <w:t>cis</w:t>
      </w:r>
      <w:r>
        <w:rPr>
          <w:b w:val="0"/>
          <w:i w:val="0"/>
        </w:rPr>
        <w:t xml:space="preserve">-1,4-polyisoprene is amorphous, but when it is stretched it crystallises, and the crystallites reinforce the network. This strain-induced crystallisation is well documented by X-ray diffraction and is mostly absent in synthetic </w:t>
      </w:r>
      <w:r>
        <w:rPr>
          <w:i/>
        </w:rPr>
        <w:t>cis</w:t>
      </w:r>
      <w:r>
        <w:rPr>
          <w:b w:val="0"/>
          <w:i w:val="0"/>
        </w:rPr>
        <w:t xml:space="preserve">-polyisoprene [10]. It is not a fixed material constant. The molecular weight and its spread differ between </w:t>
      </w:r>
      <w:r>
        <w:rPr>
          <w:i/>
        </w:rPr>
        <w:t>Hevea</w:t>
      </w:r>
      <w:r>
        <w:rPr>
          <w:b w:val="0"/>
          <w:i w:val="0"/>
        </w:rPr>
        <w:t xml:space="preserve"> clones and with the age of the tree [19], and the non-rubber protein and gel content takes an active, clone-dependent part in the network rather than acting as an impurity [18]. The variable that matters is therefore the arrangement of the chains under the conditions of use. This is tested against a synthetic analogue in §6.3.</w:t>
      </w:r>
    </w:p>
    <w:p>
      <w:pPr>
        <w:spacing w:line="240" w:lineRule="auto" w:after="40"/>
      </w:pPr>
      <w:r>
        <w:rPr>
          <w:b/>
          <w:i w:val="0"/>
          <w:sz w:val="20"/>
        </w:rPr>
        <w:t>Table 2.</w:t>
      </w:r>
      <w:r>
        <w:rPr>
          <w:b w:val="0"/>
          <w:i w:val="0"/>
          <w:sz w:val="20"/>
        </w:rPr>
        <w:t xml:space="preserve"> Provisional summary of thermal and mechanical properties of the representative biopolymers discussed in §3 (order-of-magnitude ranges, cross-checked against the comparative review of biobased thermoplastics by de Beukelaer et al. [11], for PBS against Aliotta et al. [12], and for PLA against Auras et al. [42] and Farah et al. [43]; Td is the TGA onset of significant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11"/>
        <w:gridCol w:w="1017"/>
        <w:gridCol w:w="1017"/>
        <w:gridCol w:w="1151"/>
        <w:gridCol w:w="1738"/>
        <w:gridCol w:w="1792"/>
      </w:tblGrid>
      <w:tr>
        <w:tc>
          <w:tcPr>
            <w:tcW w:type="dxa" w:w="2212"/>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51"/>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9"/>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92"/>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12"/>
            <w:tcBorders>
              <w:top w:val="nil"/>
              <w:bottom w:val="nil"/>
            </w:tcBorders>
          </w:tcPr>
          <w:p>
            <w:pPr>
              <w:spacing w:after="10" w:before="10" w:line="240" w:lineRule="auto"/>
            </w:pPr>
            <w:r>
              <w:rPr>
                <w:rFonts w:ascii="Arial" w:hAnsi="Arial"/>
                <w:b w:val="0"/>
                <w:i w:val="0"/>
                <w:sz w:val="16"/>
              </w:rPr>
              <w:t>Cellulose (regenerated fibre)</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10–30</w:t>
            </w:r>
          </w:p>
        </w:tc>
        <w:tc>
          <w:tcPr>
            <w:tcW w:type="dxa" w:w="1792"/>
            <w:tcBorders>
              <w:top w:val="nil"/>
              <w:bottom w:val="nil"/>
            </w:tcBorders>
          </w:tcPr>
          <w:p>
            <w:pPr>
              <w:spacing w:after="10" w:before="10" w:line="240" w:lineRule="auto"/>
            </w:pPr>
            <w:r>
              <w:rPr>
                <w:rFonts w:ascii="Arial" w:hAnsi="Arial"/>
                <w:b w:val="0"/>
                <w:i w:val="0"/>
                <w:sz w:val="16"/>
              </w:rPr>
              <w:t>8–15</w:t>
            </w:r>
          </w:p>
        </w:tc>
      </w:tr>
      <w:tr>
        <w:tc>
          <w:tcPr>
            <w:tcW w:type="dxa" w:w="2212"/>
            <w:tcBorders>
              <w:top w:val="nil"/>
              <w:bottom w:val="nil"/>
            </w:tcBorders>
          </w:tcPr>
          <w:p>
            <w:pPr>
              <w:spacing w:after="10" w:before="10" w:line="240" w:lineRule="auto"/>
            </w:pPr>
            <w:r>
              <w:rPr>
                <w:rFonts w:ascii="Arial" w:hAnsi="Arial"/>
                <w:b w:val="0"/>
                <w:i w:val="0"/>
                <w:sz w:val="16"/>
              </w:rPr>
              <w:t>Thermoplastic starch</w:t>
            </w:r>
          </w:p>
        </w:tc>
        <w:tc>
          <w:tcPr>
            <w:tcW w:type="dxa" w:w="1017"/>
            <w:tcBorders>
              <w:top w:val="nil"/>
              <w:bottom w:val="nil"/>
            </w:tcBorders>
          </w:tcPr>
          <w:p>
            <w:pPr>
              <w:spacing w:after="10" w:before="10" w:line="240" w:lineRule="auto"/>
            </w:pPr>
            <w:r>
              <w:rPr>
                <w:rFonts w:ascii="Arial" w:hAnsi="Arial"/>
                <w:b w:val="0"/>
                <w:i w:val="0"/>
                <w:sz w:val="16"/>
              </w:rPr>
              <w:t>~−20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0.02–1.0</w:t>
            </w:r>
          </w:p>
        </w:tc>
        <w:tc>
          <w:tcPr>
            <w:tcW w:type="dxa" w:w="1792"/>
            <w:tcBorders>
              <w:top w:val="nil"/>
              <w:bottom w:val="nil"/>
            </w:tcBorders>
          </w:tcPr>
          <w:p>
            <w:pPr>
              <w:spacing w:after="10" w:before="10" w:line="240" w:lineRule="auto"/>
            </w:pPr>
            <w:r>
              <w:rPr>
                <w:rFonts w:ascii="Arial" w:hAnsi="Arial"/>
                <w:b w:val="0"/>
                <w:i w:val="0"/>
                <w:sz w:val="16"/>
              </w:rPr>
              <w:t>20–100</w:t>
            </w:r>
          </w:p>
        </w:tc>
      </w:tr>
      <w:tr>
        <w:tc>
          <w:tcPr>
            <w:tcW w:type="dxa" w:w="2212"/>
            <w:tcBorders>
              <w:top w:val="nil"/>
              <w:bottom w:val="nil"/>
            </w:tcBorders>
          </w:tcPr>
          <w:p>
            <w:pPr>
              <w:spacing w:after="10" w:before="10" w:line="240" w:lineRule="auto"/>
            </w:pPr>
            <w:r>
              <w:rPr>
                <w:rFonts w:ascii="Arial" w:hAnsi="Arial"/>
                <w:b w:val="0"/>
                <w:i w:val="0"/>
                <w:sz w:val="16"/>
              </w:rPr>
              <w:t>Chitosan (film)</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~280</w:t>
            </w:r>
          </w:p>
        </w:tc>
        <w:tc>
          <w:tcPr>
            <w:tcW w:type="dxa" w:w="1739"/>
            <w:tcBorders>
              <w:top w:val="nil"/>
              <w:bottom w:val="nil"/>
            </w:tcBorders>
          </w:tcPr>
          <w:p>
            <w:pPr>
              <w:spacing w:after="10" w:before="10" w:line="240" w:lineRule="auto"/>
            </w:pPr>
            <w:r>
              <w:rPr>
                <w:rFonts w:ascii="Arial" w:hAnsi="Arial"/>
                <w:b w:val="0"/>
                <w:i w:val="0"/>
                <w:sz w:val="16"/>
              </w:rPr>
              <w:t>1.0–4.0</w:t>
            </w:r>
          </w:p>
        </w:tc>
        <w:tc>
          <w:tcPr>
            <w:tcW w:type="dxa" w:w="1792"/>
            <w:tcBorders>
              <w:top w:val="nil"/>
              <w:bottom w:val="nil"/>
            </w:tcBorders>
          </w:tcPr>
          <w:p>
            <w:pPr>
              <w:spacing w:after="10" w:before="10" w:line="240" w:lineRule="auto"/>
            </w:pPr>
            <w:r>
              <w:rPr>
                <w:rFonts w:ascii="Arial" w:hAnsi="Arial"/>
                <w:b w:val="0"/>
                <w:i w:val="0"/>
                <w:sz w:val="16"/>
              </w:rPr>
              <w:t>3–30</w:t>
            </w:r>
          </w:p>
        </w:tc>
      </w:tr>
      <w:tr>
        <w:tc>
          <w:tcPr>
            <w:tcW w:type="dxa" w:w="2212"/>
            <w:tcBorders>
              <w:top w:val="nil"/>
              <w:bottom w:val="nil"/>
            </w:tcBorders>
          </w:tcPr>
          <w:p>
            <w:pPr>
              <w:spacing w:after="10" w:before="10" w:line="240" w:lineRule="auto"/>
            </w:pPr>
            <w:r>
              <w:rPr>
                <w:rFonts w:ascii="Arial" w:hAnsi="Arial"/>
                <w:b w:val="0"/>
                <w:i w:val="0"/>
                <w:sz w:val="16"/>
              </w:rPr>
              <w:t>Silk fibroin (fibre)</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5–17</w:t>
            </w:r>
          </w:p>
        </w:tc>
        <w:tc>
          <w:tcPr>
            <w:tcW w:type="dxa" w:w="1792"/>
            <w:tcBorders>
              <w:top w:val="nil"/>
              <w:bottom w:val="nil"/>
            </w:tcBorders>
          </w:tcPr>
          <w:p>
            <w:pPr>
              <w:spacing w:after="10" w:before="10" w:line="240" w:lineRule="auto"/>
            </w:pPr>
            <w:r>
              <w:rPr>
                <w:rFonts w:ascii="Arial" w:hAnsi="Arial"/>
                <w:b w:val="0"/>
                <w:i w:val="0"/>
                <w:sz w:val="16"/>
              </w:rPr>
              <w:t>15–30</w:t>
            </w:r>
          </w:p>
        </w:tc>
      </w:tr>
      <w:tr>
        <w:tc>
          <w:tcPr>
            <w:tcW w:type="dxa" w:w="2212"/>
            <w:tcBorders>
              <w:top w:val="nil"/>
              <w:bottom w:val="nil"/>
            </w:tcBorders>
          </w:tcPr>
          <w:p>
            <w:pPr>
              <w:spacing w:after="10" w:before="10" w:line="240" w:lineRule="auto"/>
            </w:pPr>
            <w:r>
              <w:rPr>
                <w:rFonts w:ascii="Arial" w:hAnsi="Arial"/>
                <w:b w:val="0"/>
                <w:i w:val="0"/>
                <w:sz w:val="16"/>
              </w:rPr>
              <w:t>PHB (PHBV lowers Tm ~30 °C)</w:t>
            </w:r>
          </w:p>
        </w:tc>
        <w:tc>
          <w:tcPr>
            <w:tcW w:type="dxa" w:w="1017"/>
            <w:tcBorders>
              <w:top w:val="nil"/>
              <w:bottom w:val="nil"/>
            </w:tcBorders>
          </w:tcPr>
          <w:p>
            <w:pPr>
              <w:spacing w:after="10" w:before="10" w:line="240" w:lineRule="auto"/>
            </w:pPr>
            <w:r>
              <w:rPr>
                <w:rFonts w:ascii="Arial" w:hAnsi="Arial"/>
                <w:b w:val="0"/>
                <w:i w:val="0"/>
                <w:sz w:val="16"/>
              </w:rPr>
              <w:t>~4</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~200</w:t>
            </w:r>
          </w:p>
        </w:tc>
        <w:tc>
          <w:tcPr>
            <w:tcW w:type="dxa" w:w="1739"/>
            <w:tcBorders>
              <w:top w:val="nil"/>
              <w:bottom w:val="nil"/>
            </w:tcBorders>
          </w:tcPr>
          <w:p>
            <w:pPr>
              <w:spacing w:after="10" w:before="10" w:line="240" w:lineRule="auto"/>
            </w:pPr>
            <w:r>
              <w:rPr>
                <w:rFonts w:ascii="Arial" w:hAnsi="Arial"/>
                <w:b w:val="0"/>
                <w:i w:val="0"/>
                <w:sz w:val="16"/>
              </w:rPr>
              <w:t>1.5–4.0</w:t>
            </w:r>
          </w:p>
        </w:tc>
        <w:tc>
          <w:tcPr>
            <w:tcW w:type="dxa" w:w="1792"/>
            <w:tcBorders>
              <w:top w:val="nil"/>
              <w:bottom w:val="nil"/>
            </w:tcBorders>
          </w:tcPr>
          <w:p>
            <w:pPr>
              <w:spacing w:after="10" w:before="10" w:line="240" w:lineRule="auto"/>
            </w:pPr>
            <w:r>
              <w:rPr>
                <w:rFonts w:ascii="Arial" w:hAnsi="Arial"/>
                <w:b w:val="0"/>
                <w:i w:val="0"/>
                <w:sz w:val="16"/>
              </w:rPr>
              <w:t>2–8</w:t>
            </w:r>
          </w:p>
        </w:tc>
      </w:tr>
      <w:tr>
        <w:tc>
          <w:tcPr>
            <w:tcW w:type="dxa" w:w="2212"/>
            <w:tcBorders>
              <w:top w:val="nil"/>
              <w:bottom w:val="nil"/>
            </w:tcBorders>
          </w:tcPr>
          <w:p>
            <w:pPr>
              <w:spacing w:after="10" w:before="10" w:line="240" w:lineRule="auto"/>
            </w:pPr>
            <w:r>
              <w:rPr>
                <w:rFonts w:ascii="Arial" w:hAnsi="Arial"/>
                <w:b w:val="0"/>
                <w:i w:val="0"/>
                <w:sz w:val="16"/>
              </w:rPr>
              <w:t>PLLA</w:t>
            </w:r>
          </w:p>
        </w:tc>
        <w:tc>
          <w:tcPr>
            <w:tcW w:type="dxa" w:w="1017"/>
            <w:tcBorders>
              <w:top w:val="nil"/>
              <w:bottom w:val="nil"/>
            </w:tcBorders>
          </w:tcPr>
          <w:p>
            <w:pPr>
              <w:spacing w:after="10" w:before="10" w:line="240" w:lineRule="auto"/>
            </w:pPr>
            <w:r>
              <w:rPr>
                <w:rFonts w:ascii="Arial" w:hAnsi="Arial"/>
                <w:b w:val="0"/>
                <w:i w:val="0"/>
                <w:sz w:val="16"/>
              </w:rPr>
              <w:t>~60</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2.5–4.0</w:t>
            </w:r>
          </w:p>
        </w:tc>
        <w:tc>
          <w:tcPr>
            <w:tcW w:type="dxa" w:w="1792"/>
            <w:tcBorders>
              <w:top w:val="nil"/>
              <w:bottom w:val="nil"/>
            </w:tcBorders>
          </w:tcPr>
          <w:p>
            <w:pPr>
              <w:spacing w:after="10" w:before="10" w:line="240" w:lineRule="auto"/>
            </w:pPr>
            <w:r>
              <w:rPr>
                <w:rFonts w:ascii="Arial" w:hAnsi="Arial"/>
                <w:b w:val="0"/>
                <w:i w:val="0"/>
                <w:sz w:val="16"/>
              </w:rPr>
              <w:t>3–10</w:t>
            </w:r>
          </w:p>
        </w:tc>
      </w:tr>
      <w:tr>
        <w:tc>
          <w:tcPr>
            <w:tcW w:type="dxa" w:w="2212"/>
            <w:tcBorders>
              <w:top w:val="nil"/>
              <w:bottom w:val="nil"/>
            </w:tcBorders>
          </w:tcPr>
          <w:p>
            <w:pPr>
              <w:spacing w:after="10" w:before="10" w:line="240" w:lineRule="auto"/>
            </w:pPr>
            <w:r>
              <w:rPr>
                <w:rFonts w:ascii="Arial" w:hAnsi="Arial"/>
                <w:b w:val="0"/>
                <w:i w:val="0"/>
                <w:sz w:val="16"/>
              </w:rPr>
              <w:t>PBS</w:t>
            </w:r>
          </w:p>
        </w:tc>
        <w:tc>
          <w:tcPr>
            <w:tcW w:type="dxa" w:w="1017"/>
            <w:tcBorders>
              <w:top w:val="nil"/>
              <w:bottom w:val="nil"/>
            </w:tcBorders>
          </w:tcPr>
          <w:p>
            <w:pPr>
              <w:spacing w:after="10" w:before="10" w:line="240" w:lineRule="auto"/>
            </w:pPr>
            <w:r>
              <w:rPr>
                <w:rFonts w:ascii="Arial" w:hAnsi="Arial"/>
                <w:b w:val="0"/>
                <w:i w:val="0"/>
                <w:sz w:val="16"/>
              </w:rPr>
              <w:t>~−32</w:t>
            </w:r>
          </w:p>
        </w:tc>
        <w:tc>
          <w:tcPr>
            <w:tcW w:type="dxa" w:w="1017"/>
            <w:tcBorders>
              <w:top w:val="nil"/>
              <w:bottom w:val="nil"/>
            </w:tcBorders>
          </w:tcPr>
          <w:p>
            <w:pPr>
              <w:spacing w:after="10" w:before="10" w:line="240" w:lineRule="auto"/>
            </w:pPr>
            <w:r>
              <w:rPr>
                <w:rFonts w:ascii="Arial" w:hAnsi="Arial"/>
                <w:b w:val="0"/>
                <w:i w:val="0"/>
                <w:sz w:val="16"/>
              </w:rPr>
              <w:t>~114</w:t>
            </w:r>
          </w:p>
        </w:tc>
        <w:tc>
          <w:tcPr>
            <w:tcW w:type="dxa" w:w="1151"/>
            <w:tcBorders>
              <w:top w:val="nil"/>
              <w:bottom w:val="nil"/>
            </w:tcBorders>
          </w:tcPr>
          <w:p>
            <w:pPr>
              <w:spacing w:after="10" w:before="10" w:line="240" w:lineRule="auto"/>
            </w:pPr>
            <w:r>
              <w:rPr>
                <w:rFonts w:ascii="Arial" w:hAnsi="Arial"/>
                <w:b w:val="0"/>
                <w:i w:val="0"/>
                <w:sz w:val="16"/>
              </w:rPr>
              <w:t>~350</w:t>
            </w:r>
          </w:p>
        </w:tc>
        <w:tc>
          <w:tcPr>
            <w:tcW w:type="dxa" w:w="1739"/>
            <w:tcBorders>
              <w:top w:val="nil"/>
              <w:bottom w:val="nil"/>
            </w:tcBorders>
          </w:tcPr>
          <w:p>
            <w:pPr>
              <w:spacing w:after="10" w:before="10" w:line="240" w:lineRule="auto"/>
            </w:pPr>
            <w:r>
              <w:rPr>
                <w:rFonts w:ascii="Arial" w:hAnsi="Arial"/>
                <w:b w:val="0"/>
                <w:i w:val="0"/>
                <w:sz w:val="16"/>
              </w:rPr>
              <w:t>0.3–0.7</w:t>
            </w:r>
          </w:p>
        </w:tc>
        <w:tc>
          <w:tcPr>
            <w:tcW w:type="dxa" w:w="1792"/>
            <w:tcBorders>
              <w:top w:val="nil"/>
              <w:bottom w:val="nil"/>
            </w:tcBorders>
          </w:tcPr>
          <w:p>
            <w:pPr>
              <w:spacing w:after="10" w:before="10" w:line="240" w:lineRule="auto"/>
            </w:pPr>
            <w:r>
              <w:rPr>
                <w:rFonts w:ascii="Arial" w:hAnsi="Arial"/>
                <w:b w:val="0"/>
                <w:i w:val="0"/>
                <w:sz w:val="16"/>
              </w:rPr>
              <w:t>200–500</w:t>
            </w:r>
          </w:p>
        </w:tc>
      </w:tr>
      <w:tr>
        <w:tc>
          <w:tcPr>
            <w:tcW w:type="dxa" w:w="2212"/>
            <w:tcBorders>
              <w:top w:val="nil"/>
              <w:bottom w:val="nil"/>
            </w:tcBorders>
          </w:tcPr>
          <w:p>
            <w:pPr>
              <w:spacing w:after="10" w:before="10" w:line="240" w:lineRule="auto"/>
            </w:pPr>
            <w:r>
              <w:rPr>
                <w:rFonts w:ascii="Arial" w:hAnsi="Arial"/>
                <w:b w:val="0"/>
                <w:i w:val="0"/>
                <w:sz w:val="16"/>
              </w:rPr>
              <w:t>Natural rubber (vulcanised)</w:t>
            </w:r>
          </w:p>
        </w:tc>
        <w:tc>
          <w:tcPr>
            <w:tcW w:type="dxa" w:w="1017"/>
            <w:tcBorders>
              <w:top w:val="nil"/>
              <w:bottom w:val="nil"/>
            </w:tcBorders>
          </w:tcPr>
          <w:p>
            <w:pPr>
              <w:spacing w:after="10" w:before="10" w:line="240" w:lineRule="auto"/>
            </w:pPr>
            <w:r>
              <w:rPr>
                <w:rFonts w:ascii="Arial" w:hAnsi="Arial"/>
                <w:b w:val="0"/>
                <w:i w:val="0"/>
                <w:sz w:val="16"/>
              </w:rPr>
              <w:t>~−70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w:t>
            </w:r>
          </w:p>
        </w:tc>
        <w:tc>
          <w:tcPr>
            <w:tcW w:type="dxa" w:w="1739"/>
            <w:tcBorders>
              <w:top w:val="nil"/>
              <w:bottom w:val="nil"/>
            </w:tcBorders>
          </w:tcPr>
          <w:p>
            <w:pPr>
              <w:spacing w:after="10" w:before="10" w:line="240" w:lineRule="auto"/>
            </w:pPr>
            <w:r>
              <w:rPr>
                <w:rFonts w:ascii="Arial" w:hAnsi="Arial"/>
                <w:b w:val="0"/>
                <w:i w:val="0"/>
                <w:sz w:val="16"/>
              </w:rPr>
              <w:t>0.001–0.005</w:t>
            </w:r>
          </w:p>
        </w:tc>
        <w:tc>
          <w:tcPr>
            <w:tcW w:type="dxa" w:w="1792"/>
            <w:tcBorders>
              <w:top w:val="nil"/>
              <w:bottom w:val="nil"/>
            </w:tcBorders>
          </w:tcPr>
          <w:p>
            <w:pPr>
              <w:spacing w:after="10" w:before="10" w:line="240" w:lineRule="auto"/>
            </w:pPr>
            <w:r>
              <w:rPr>
                <w:rFonts w:ascii="Arial" w:hAnsi="Arial"/>
                <w:b w:val="0"/>
                <w:i w:val="0"/>
                <w:sz w:val="16"/>
              </w:rPr>
              <w:t>500–800</w:t>
            </w:r>
          </w:p>
        </w:tc>
      </w:tr>
      <w:tr>
        <w:tc>
          <w:tcPr>
            <w:tcW w:type="dxa" w:w="2212"/>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7"/>
            <w:tcBorders>
              <w:top w:val="nil"/>
              <w:bottom w:val="single" w:sz="8" w:space="0" w:color="000000"/>
            </w:tcBorders>
          </w:tcPr>
          <w:p>
            <w:pPr>
              <w:spacing w:after="10" w:before="10" w:line="240" w:lineRule="auto"/>
            </w:pPr>
            <w:r>
              <w:rPr>
                <w:rFonts w:ascii="Arial" w:hAnsi="Arial"/>
                <w:b w:val="0"/>
                <w:i w:val="0"/>
                <w:sz w:val="16"/>
              </w:rPr>
              <w:t>~78</w:t>
            </w:r>
          </w:p>
        </w:tc>
        <w:tc>
          <w:tcPr>
            <w:tcW w:type="dxa" w:w="1017"/>
            <w:tcBorders>
              <w:top w:val="nil"/>
              <w:bottom w:val="single" w:sz="8" w:space="0" w:color="000000"/>
            </w:tcBorders>
          </w:tcPr>
          <w:p>
            <w:pPr>
              <w:spacing w:after="10" w:before="10" w:line="240" w:lineRule="auto"/>
            </w:pPr>
            <w:r>
              <w:rPr>
                <w:rFonts w:ascii="Arial" w:hAnsi="Arial"/>
                <w:b w:val="0"/>
                <w:i w:val="0"/>
                <w:sz w:val="16"/>
              </w:rPr>
              <w:t>~255</w:t>
            </w:r>
          </w:p>
        </w:tc>
        <w:tc>
          <w:tcPr>
            <w:tcW w:type="dxa" w:w="1151"/>
            <w:tcBorders>
              <w:top w:val="nil"/>
              <w:bottom w:val="single" w:sz="8" w:space="0" w:color="000000"/>
            </w:tcBorders>
          </w:tcPr>
          <w:p>
            <w:pPr>
              <w:spacing w:after="10" w:before="10" w:line="240" w:lineRule="auto"/>
            </w:pPr>
            <w:r>
              <w:rPr>
                <w:rFonts w:ascii="Arial" w:hAnsi="Arial"/>
                <w:b w:val="0"/>
                <w:i w:val="0"/>
                <w:sz w:val="16"/>
              </w:rPr>
              <w:t>~400</w:t>
            </w:r>
          </w:p>
        </w:tc>
        <w:tc>
          <w:tcPr>
            <w:tcW w:type="dxa" w:w="1739"/>
            <w:tcBorders>
              <w:top w:val="nil"/>
              <w:bottom w:val="single" w:sz="8" w:space="0" w:color="000000"/>
            </w:tcBorders>
          </w:tcPr>
          <w:p>
            <w:pPr>
              <w:spacing w:after="10" w:before="10" w:line="240" w:lineRule="auto"/>
            </w:pPr>
            <w:r>
              <w:rPr>
                <w:rFonts w:ascii="Arial" w:hAnsi="Arial"/>
                <w:b w:val="0"/>
                <w:i w:val="0"/>
                <w:sz w:val="16"/>
              </w:rPr>
              <w:t>2.0–4.0</w:t>
            </w:r>
          </w:p>
        </w:tc>
        <w:tc>
          <w:tcPr>
            <w:tcW w:type="dxa" w:w="1792"/>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All values are PROVISIONAL. They are teaching-level ranges chosen to keep Fig. 5 and this table internally consistent. Each one must be replaced before submission with a cited literature value, matched to a stated test condition (sample form, moisture, thermal history).</w:t>
      </w:r>
    </w:p>
    <w:p>
      <w:pPr>
        <w:pStyle w:val="Heading1"/>
      </w:pPr>
      <w:r>
        <w:t>4. Molecular Weight and Its Measurement</w:t>
      </w:r>
    </w:p>
    <w:p>
      <w:pPr>
        <w:jc w:val="both"/>
      </w:pPr>
      <w:r>
        <w:rPr>
          <w:b w:val="0"/>
          <w:i w:val="0"/>
        </w:rPr>
        <w:t>Many reviews give biopolymer molecular weight only as "high". What matters more is the full distribution, not just the average. The usual descriptors are the number-average Mn, the weight-average Mw, the dispersity Đ = Mw/Mn [46], and the degree of polymerisation. Đ is the most useful of these, because it controls how the material processes and how widely its mechanical properties scatter within one batch; Mn on its own does not.</w:t>
      </w:r>
    </w:p>
    <w:p>
      <w:pPr>
        <w:jc w:val="both"/>
      </w:pPr>
      <w:r>
        <w:rPr>
          <w:b w:val="0"/>
          <w:i w:val="0"/>
        </w:rPr>
        <w:t xml:space="preserve">The value of Đ follows directly from how the polymer was made (Fig. 4). Proteins and nucleic acids are built on a template, so every chain has the same length and Đ is exactly 1.0. Every other route broadens the distribution. Extraction (cellulose, chitosan, natural rubber) and catalysed polymerisation (PHA, PLA) each give a Đ that depends on how tightly the route is controlled. Natural rubber is the extreme case: it is harvested rather than chain-grown, so its Mw and its distribution change from one </w:t>
      </w:r>
      <w:r>
        <w:rPr>
          <w:i/>
        </w:rPr>
        <w:t>Hevea</w:t>
      </w:r>
      <w:r>
        <w:rPr>
          <w:b w:val="0"/>
          <w:i w:val="0"/>
        </w:rPr>
        <w:t xml:space="preserve"> clone to another and with the age of the tree [19]. No synthetic polymer varies this way.</w:t>
      </w:r>
    </w:p>
    <w:p>
      <w:pPr>
        <w:keepNext/>
        <w:spacing w:after="40"/>
        <w:jc w:val="center"/>
      </w:pPr>
      <w:r>
        <w:drawing>
          <wp:inline xmlns:a="http://schemas.openxmlformats.org/drawingml/2006/main" xmlns:pic="http://schemas.openxmlformats.org/drawingml/2006/picture">
            <wp:extent cx="5029200" cy="2426292"/>
            <wp:docPr id="4" name="Picture 4"/>
            <wp:cNvGraphicFramePr>
              <a:graphicFrameLocks noChangeAspect="1"/>
            </wp:cNvGraphicFramePr>
            <a:graphic>
              <a:graphicData uri="http://schemas.openxmlformats.org/drawingml/2006/picture">
                <pic:pic>
                  <pic:nvPicPr>
                    <pic:cNvPr id="0" name="fig9_dispersity.png"/>
                    <pic:cNvPicPr/>
                  </pic:nvPicPr>
                  <pic:blipFill>
                    <a:blip r:embed="rId13"/>
                    <a:stretch>
                      <a:fillRect/>
                    </a:stretch>
                  </pic:blipFill>
                  <pic:spPr>
                    <a:xfrm>
                      <a:off x="0" y="0"/>
                      <a:ext cx="5029200" cy="2426292"/>
                    </a:xfrm>
                    <a:prstGeom prst="rect"/>
                  </pic:spPr>
                </pic:pic>
              </a:graphicData>
            </a:graphic>
          </wp:inline>
        </w:drawing>
      </w:r>
    </w:p>
    <w:p>
      <w:pPr>
        <w:spacing w:line="240" w:lineRule="auto" w:after="80"/>
        <w:jc w:val="center"/>
      </w:pPr>
      <w:r>
        <w:rPr>
          <w:i/>
          <w:sz w:val="20"/>
        </w:rPr>
        <w:t>Figure 4. Dispersity Đ across families (colour by backbone class): an exact point at Đ = 1 for templated biosynthesis, literature ranges for PLA/PHA/chitosan/cellulose, and an open arrow for natural rubber, whose Đ is not consistently quantified.</w:t>
      </w:r>
    </w:p>
    <w:p>
      <w:pPr>
        <w:jc w:val="both"/>
      </w:pPr>
      <w:r>
        <w:rPr>
          <w:b w:val="0"/>
          <w:i w:val="0"/>
        </w:rPr>
        <w:t>Molecular weight controls performance through chain entanglement. A polymer only develops full strength and toughness once its chains are long enough to entangle, above a critical value Mc [48]. Below Mc, both collapse. Above Mc, tensile strength rises with Mn and then levels off (Flory-type, σ ≈ σ∞ − K/Mn) [47]. Degradation shows up first as a fall in molecular weight. It costs little strength until the chains drop back below Mc. At that point performance fails suddenly. The same failure mode returns in §6 and §7.</w:t>
      </w:r>
    </w:p>
    <w:p>
      <w:pPr>
        <w:jc w:val="both"/>
      </w:pPr>
      <w:r>
        <w:rPr>
          <w:b w:val="0"/>
          <w:i w:val="0"/>
        </w:rPr>
        <w:t>Measuring biopolymer molecular weight is harder than for synthetic polymers. Cellulose dissolves in no standard SEC eluent, so it must be derivatised or dissolved in an aggressive solvent first. Aggregation and chain branching also distort an SEC calibrated against linear standards. SEC-MALS and Mark-Houwink viscometry avoid the calibration problem, but Mark-Houwink parameters have not been measured for many biopolymer and solvent pairs. As a result, published molecular weights for the same material often differ by a factor of ten. This is mostly an artefact of the method, so a molecular weight is only meaningful when the method is reported with it.</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4 instead of repeated here).</w:t>
      </w:r>
    </w:p>
    <w:tbl>
      <w:tblPr>
        <w:tblW w:type="auto" w:w="0"/>
        <w:jc w:val="center"/>
        <w:tblLayout w:type="fixed"/>
        <w:tblLook w:firstColumn="1" w:firstRow="1" w:lastColumn="0" w:lastRow="0" w:noHBand="0" w:noVBand="1" w:val="04A0"/>
        <w:tblLayout w:type="fixed"/>
      </w:tblPr>
      <w:tblGrid>
        <w:gridCol w:w="2260"/>
        <w:gridCol w:w="3046"/>
        <w:gridCol w:w="3621"/>
      </w:tblGrid>
      <w:tr>
        <w:tc>
          <w:tcPr>
            <w:tcW w:type="dxa" w:w="226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3047"/>
            <w:tcBorders>
              <w:top w:val="single" w:sz="8" w:space="0" w:color="000000"/>
              <w:bottom w:val="single" w:sz="8" w:space="0" w:color="000000"/>
            </w:tcBorders>
          </w:tcPr>
          <w:p>
            <w:pPr>
              <w:spacing w:after="10" w:before="10" w:line="240" w:lineRule="auto"/>
            </w:pPr>
            <w:r>
              <w:rPr>
                <w:rFonts w:ascii="Arial" w:hAnsi="Arial"/>
                <w:b/>
                <w:i w:val="0"/>
                <w:sz w:val="16"/>
              </w:rPr>
              <w:t>Typical Mn (g mol⁻¹)</w:t>
            </w:r>
          </w:p>
        </w:tc>
        <w:tc>
          <w:tcPr>
            <w:tcW w:type="dxa" w:w="3621"/>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260"/>
            <w:tcBorders>
              <w:top w:val="nil"/>
              <w:bottom w:val="nil"/>
            </w:tcBorders>
          </w:tcPr>
          <w:p>
            <w:pPr>
              <w:spacing w:after="10" w:before="10" w:line="240" w:lineRule="auto"/>
            </w:pPr>
            <w:r>
              <w:rPr>
                <w:rFonts w:ascii="Arial" w:hAnsi="Arial"/>
                <w:b w:val="0"/>
                <w:i w:val="0"/>
                <w:sz w:val="16"/>
              </w:rPr>
              <w:t>Proteins / DNA / RNA</w:t>
            </w:r>
          </w:p>
        </w:tc>
        <w:tc>
          <w:tcPr>
            <w:tcW w:type="dxa" w:w="3047"/>
            <w:tcBorders>
              <w:top w:val="nil"/>
              <w:bottom w:val="nil"/>
            </w:tcBorders>
          </w:tcPr>
          <w:p>
            <w:pPr>
              <w:spacing w:after="10" w:before="10" w:line="240" w:lineRule="auto"/>
            </w:pPr>
            <w:r>
              <w:rPr>
                <w:rFonts w:ascii="Arial" w:hAnsi="Arial"/>
                <w:b w:val="0"/>
                <w:i w:val="0"/>
                <w:sz w:val="16"/>
              </w:rPr>
              <w:t>sequence-specific</w:t>
            </w:r>
          </w:p>
        </w:tc>
        <w:tc>
          <w:tcPr>
            <w:tcW w:type="dxa" w:w="3621"/>
            <w:tcBorders>
              <w:top w:val="nil"/>
              <w:bottom w:val="nil"/>
            </w:tcBorders>
          </w:tcPr>
          <w:p>
            <w:pPr>
              <w:spacing w:after="10" w:before="10" w:line="240" w:lineRule="auto"/>
            </w:pPr>
            <w:r>
              <w:rPr>
                <w:rFonts w:ascii="Arial" w:hAnsi="Arial"/>
                <w:b w:val="0"/>
                <w:i w:val="0"/>
                <w:sz w:val="16"/>
              </w:rPr>
              <w:t>mass spectrometry (no limitation; templated)</w:t>
            </w:r>
          </w:p>
        </w:tc>
      </w:tr>
      <w:tr>
        <w:tc>
          <w:tcPr>
            <w:tcW w:type="dxa" w:w="2260"/>
            <w:tcBorders>
              <w:top w:val="nil"/>
              <w:bottom w:val="nil"/>
            </w:tcBorders>
          </w:tcPr>
          <w:p>
            <w:pPr>
              <w:spacing w:after="10" w:before="10" w:line="240" w:lineRule="auto"/>
            </w:pPr>
            <w:r>
              <w:rPr>
                <w:rFonts w:ascii="Arial" w:hAnsi="Arial"/>
                <w:b w:val="0"/>
                <w:i w:val="0"/>
                <w:sz w:val="16"/>
              </w:rPr>
              <w:t>Cellulose</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viscometry / SEC-MALS after derivatisation (SEC-insoluble)</w:t>
            </w:r>
          </w:p>
        </w:tc>
      </w:tr>
      <w:tr>
        <w:tc>
          <w:tcPr>
            <w:tcW w:type="dxa" w:w="2260"/>
            <w:tcBorders>
              <w:top w:val="nil"/>
              <w:bottom w:val="nil"/>
            </w:tcBorders>
          </w:tcPr>
          <w:p>
            <w:pPr>
              <w:spacing w:after="10" w:before="10" w:line="240" w:lineRule="auto"/>
            </w:pPr>
            <w:r>
              <w:rPr>
                <w:rFonts w:ascii="Arial" w:hAnsi="Arial"/>
                <w:b w:val="0"/>
                <w:i w:val="0"/>
                <w:sz w:val="16"/>
              </w:rPr>
              <w:t>Chitosan</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260"/>
            <w:tcBorders>
              <w:top w:val="nil"/>
              <w:bottom w:val="nil"/>
            </w:tcBorders>
          </w:tcPr>
          <w:p>
            <w:pPr>
              <w:spacing w:after="10" w:before="10" w:line="240" w:lineRule="auto"/>
            </w:pPr>
            <w:r>
              <w:rPr>
                <w:rFonts w:ascii="Arial" w:hAnsi="Arial"/>
                <w:b w:val="0"/>
                <w:i w:val="0"/>
                <w:sz w:val="16"/>
              </w:rPr>
              <w:t>PHA (PHB/PHBV)</w:t>
            </w:r>
          </w:p>
        </w:tc>
        <w:tc>
          <w:tcPr>
            <w:tcW w:type="dxa" w:w="3047"/>
            <w:tcBorders>
              <w:top w:val="nil"/>
              <w:bottom w:val="nil"/>
            </w:tcBorders>
          </w:tcPr>
          <w:p>
            <w:pPr>
              <w:spacing w:after="10" w:before="10" w:line="240" w:lineRule="auto"/>
            </w:pPr>
            <w:r>
              <w:rPr>
                <w:rFonts w:ascii="Arial" w:hAnsi="Arial"/>
                <w:b w:val="0"/>
                <w:i w:val="0"/>
                <w:sz w:val="16"/>
              </w:rPr>
              <w:t>10⁵–10⁶</w:t>
            </w:r>
          </w:p>
        </w:tc>
        <w:tc>
          <w:tcPr>
            <w:tcW w:type="dxa" w:w="3621"/>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260"/>
            <w:tcBorders>
              <w:top w:val="nil"/>
              <w:bottom w:val="nil"/>
            </w:tcBorders>
          </w:tcPr>
          <w:p>
            <w:pPr>
              <w:spacing w:after="10" w:before="10" w:line="240" w:lineRule="auto"/>
            </w:pPr>
            <w:r>
              <w:rPr>
                <w:rFonts w:ascii="Arial" w:hAnsi="Arial"/>
                <w:b w:val="0"/>
                <w:i w:val="0"/>
                <w:sz w:val="16"/>
              </w:rPr>
              <w:t>PLA</w:t>
            </w:r>
          </w:p>
        </w:tc>
        <w:tc>
          <w:tcPr>
            <w:tcW w:type="dxa" w:w="3047"/>
            <w:tcBorders>
              <w:top w:val="nil"/>
              <w:bottom w:val="nil"/>
            </w:tcBorders>
          </w:tcPr>
          <w:p>
            <w:pPr>
              <w:spacing w:after="10" w:before="10" w:line="240" w:lineRule="auto"/>
            </w:pPr>
            <w:r>
              <w:rPr>
                <w:rFonts w:ascii="Arial" w:hAnsi="Arial"/>
                <w:b w:val="0"/>
                <w:i w:val="0"/>
                <w:sz w:val="16"/>
              </w:rPr>
              <w:t>10⁴–10⁵</w:t>
            </w:r>
          </w:p>
        </w:tc>
        <w:tc>
          <w:tcPr>
            <w:tcW w:type="dxa" w:w="3621"/>
            <w:tcBorders>
              <w:top w:val="nil"/>
              <w:bottom w:val="nil"/>
            </w:tcBorders>
          </w:tcPr>
          <w:p>
            <w:pPr>
              <w:spacing w:after="10" w:before="10" w:line="240" w:lineRule="auto"/>
            </w:pPr>
            <w:r>
              <w:rPr>
                <w:rFonts w:ascii="Arial" w:hAnsi="Arial"/>
                <w:b w:val="0"/>
                <w:i w:val="0"/>
                <w:sz w:val="16"/>
              </w:rPr>
              <w:t>GPC/SEC (in-process moisture hydrolysis)</w:t>
            </w:r>
          </w:p>
        </w:tc>
      </w:tr>
      <w:tr>
        <w:tc>
          <w:tcPr>
            <w:tcW w:type="dxa" w:w="2260"/>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047"/>
            <w:tcBorders>
              <w:top w:val="nil"/>
              <w:bottom w:val="single" w:sz="8" w:space="0" w:color="000000"/>
            </w:tcBorders>
          </w:tcPr>
          <w:p>
            <w:pPr>
              <w:spacing w:after="10" w:before="10" w:line="240" w:lineRule="auto"/>
            </w:pPr>
            <w:r>
              <w:rPr>
                <w:rFonts w:ascii="Arial" w:hAnsi="Arial"/>
                <w:b w:val="0"/>
                <w:i w:val="0"/>
                <w:sz w:val="16"/>
              </w:rPr>
              <w:t>&gt;10⁶</w:t>
            </w:r>
          </w:p>
        </w:tc>
        <w:tc>
          <w:tcPr>
            <w:tcW w:type="dxa" w:w="3621"/>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both"/>
      </w:pPr>
      <w:r>
        <w:rPr>
          <w:i/>
        </w:rPr>
        <w:t>Mn ranges are teaching-level approximations; confirm each against a primary source before submission. The method column and its limitations are supported by refs [39,46] and the SEC/MALS discussion in §4.</w:t>
      </w:r>
    </w:p>
    <w:p>
      <w:pPr>
        <w:pStyle w:val="Heading1"/>
      </w:pPr>
      <w:r>
        <w:t>5. General Property Patterns</w:t>
      </w:r>
    </w:p>
    <w:p>
      <w:pPr>
        <w:jc w:val="both"/>
      </w:pPr>
      <w:r>
        <w:rPr>
          <w:b w:val="0"/>
          <w:i w:val="0"/>
        </w:rPr>
        <w:t>Section 3 looked at each family on its own. This section asks what the families have in common.</w:t>
      </w:r>
    </w:p>
    <w:p>
      <w:pPr>
        <w:pStyle w:val="Heading2"/>
      </w:pPr>
      <w:r>
        <w:t>5.1 Thermal Behaviour</w:t>
      </w:r>
    </w:p>
    <w:p>
      <w:pPr>
        <w:jc w:val="both"/>
      </w:pPr>
      <w:r>
        <w:rPr>
          <w:b w:val="0"/>
          <w:i w:val="0"/>
        </w:rPr>
        <w:t>For most biopolymers the decomposition temperature sits at or below the melting point (Fig. 5a). The reason is the same one that makes them stiff: strong hydrogen bonding and dense polar groups raise the energy needed to melt the crystal until it approaches the energy needed to break the backbone bonds. The two events then overlap. Cellulose, chitosan and silk fibroin decompose before they can melt at all. Among the polyesters the gap is small but real: PHB has a melt-processing window of only about 25 °C, PHBV about 55 °C, and PLLA somewhat more [44]. Fig. 5a marks the TGA decomposition onset; in practice the usable window for PHB and PLLA is narrower still, because melt hydrolysis (§4) begins before that onset.</w:t>
      </w:r>
    </w:p>
    <w:p>
      <w:pPr>
        <w:jc w:val="both"/>
      </w:pPr>
      <w:r>
        <w:rPr>
          <w:b w:val="0"/>
          <w:i w:val="0"/>
        </w:rPr>
        <w:t>This window also sets the processing route. PBS, PLA and PHB are melt-processed, while cellulose and chitosan, having no window, are shaped from solution (Lyocell, dilute-acid spinning). Plasticisers, nucleating agents and compatibilised blends all work by widening a narrow window, so most reported "performance shortfalls" are really processing-window shortfalls.</w:t>
      </w:r>
    </w:p>
    <w:p>
      <w:pPr>
        <w:pStyle w:val="Heading2"/>
      </w:pPr>
      <w:r>
        <w:t>5.2 Mechanical Behaviour</w:t>
      </w:r>
    </w:p>
    <w:p>
      <w:pPr>
        <w:jc w:val="both"/>
      </w:pPr>
      <w:r>
        <w:rPr>
          <w:b w:val="0"/>
          <w:i w:val="0"/>
        </w:rPr>
        <w:t>The same structure sets the mechanical envelope (Fig. 5b). High crystallinity and dense hydrogen bonding raise the modulus, but they leave few flexible chain segments, so biopolymers cannot draw out before breaking the way polyethylene and polypropylene do. Most biopolymers therefore fall in the high-modulus, low-elongation corner relative to PE, PP and PET [11,43]. Natural rubber is the exception: it has almost no modulus when relaxed and develops its properties only under load, by strain-induced crystallisation (§3.5, §6.3). The shapes in Fig. 5b are ranges, not points. Sample form, moisture, crystallinity and thermal history each shift a material's data by up to a factor of ten; this reappears as "batch variability" in §6.2.</w:t>
      </w:r>
    </w:p>
    <w:p>
      <w:pPr>
        <w:keepNext/>
        <w:spacing w:after="40"/>
        <w:jc w:val="center"/>
      </w:pPr>
      <w:r>
        <w:drawing>
          <wp:inline xmlns:a="http://schemas.openxmlformats.org/drawingml/2006/main" xmlns:pic="http://schemas.openxmlformats.org/drawingml/2006/picture">
            <wp:extent cx="5029200" cy="2189550"/>
            <wp:docPr id="5" name="Picture 5"/>
            <wp:cNvGraphicFramePr>
              <a:graphicFrameLocks noChangeAspect="1"/>
            </wp:cNvGraphicFramePr>
            <a:graphic>
              <a:graphicData uri="http://schemas.openxmlformats.org/drawingml/2006/picture">
                <pic:pic>
                  <pic:nvPicPr>
                    <pic:cNvPr id="0" name="fig_property_maps.png"/>
                    <pic:cNvPicPr/>
                  </pic:nvPicPr>
                  <pic:blipFill>
                    <a:blip r:embed="rId14"/>
                    <a:stretch>
                      <a:fillRect/>
                    </a:stretch>
                  </pic:blipFill>
                  <pic:spPr>
                    <a:xfrm>
                      <a:off x="0" y="0"/>
                      <a:ext cx="5029200" cy="2189550"/>
                    </a:xfrm>
                    <a:prstGeom prst="rect"/>
                  </pic:spPr>
                </pic:pic>
              </a:graphicData>
            </a:graphic>
          </wp:inline>
        </w:drawing>
      </w:r>
    </w:p>
    <w:p>
      <w:pPr>
        <w:spacing w:line="240" w:lineRule="auto" w:after="80"/>
        <w:jc w:val="center"/>
      </w:pPr>
      <w:r>
        <w:rPr>
          <w:i/>
          <w:sz w:val="20"/>
        </w:rPr>
        <w:t>Figure 5. Thermal and mechanical envelopes, drawn by the authors from `figures/data/*.csv`. (a) Tg (open circle), Tm (diamond) and TGA decomposition onset (bar) on one axis. The shaded band is the melt-processing window (Tm to Td), with its width labelled; cellulose, starch, chitosan and silk have no window. (b) Modulus against elongation at break (log-log axes). The ellipses span literature values for the stated sample form and are not error bars. LDPE, PP and PET are shown for reference.</w:t>
      </w:r>
    </w:p>
    <w:p>
      <w:pPr>
        <w:pStyle w:val="Heading2"/>
      </w:pPr>
      <w:r>
        <w:t>5.3 Hydrophilicity and Barrier Properties</w:t>
      </w:r>
    </w:p>
    <w:p>
      <w:pPr>
        <w:jc w:val="both"/>
      </w:pPr>
      <w:r>
        <w:rPr>
          <w:b w:val="0"/>
          <w:i w:val="0"/>
        </w:rPr>
        <w:t>The polar groups that give the strength in §5.1 and §5.2 have a third effect. They make the material take up water. Absorbed water plasticises the amorphous fraction and opens up free volume, so the barrier performance drops as the humidity rises. This is why the barrier rating of a PLA or starch film has to be quoted with a storage humidity rather than as a single number. ⚙️ Atomistic free-volume and diffusion modelling can predict this before a packaging trial is run.</w:t>
      </w:r>
    </w:p>
    <w:p>
      <w:pPr>
        <w:pStyle w:val="Heading2"/>
      </w:pPr>
      <w:r>
        <w:t>5.4 Degradation as a Material Property</w:t>
      </w:r>
    </w:p>
    <w:p>
      <w:pPr>
        <w:jc w:val="both"/>
      </w:pPr>
      <w:r>
        <w:rPr>
          <w:b w:val="0"/>
          <w:i w:val="0"/>
        </w:rPr>
        <w:t>Degradation is a rate process that structure controls (Fig. 6). Polyesters degrade by ester hydrolysis that catalyses itself. The acid end left by each scission speeds up the next one, so once a part is below a critical thickness its interior erodes faster than its surface. This is bulk erosion [49]. Polysaccharides and proteins degrade instead by enzymes, which reach only the amorphous segments, so the rate depends on the accessible surface area rather than on the bulk chemistry [50]. Crystallinity is therefore the central trade-off of this review. The same feature that sets the modulus (§5.2) and keeps water out (§5.3) also keeps out the attack that would degrade the material. ⚙️ Computed ester-hydrolysis barriers rise in the order base-catalysed, then acid-catalysed, then neutral, which matches the measured pH dependence of the rate.</w:t>
      </w:r>
    </w:p>
    <w:p>
      <w:pPr>
        <w:keepNext/>
        <w:spacing w:after="40"/>
        <w:jc w:val="center"/>
      </w:pPr>
      <w:r>
        <w:drawing>
          <wp:inline xmlns:a="http://schemas.openxmlformats.org/drawingml/2006/main" xmlns:pic="http://schemas.openxmlformats.org/drawingml/2006/picture">
            <wp:extent cx="5029200" cy="1182457"/>
            <wp:docPr id="6" name="Picture 6"/>
            <wp:cNvGraphicFramePr>
              <a:graphicFrameLocks noChangeAspect="1"/>
            </wp:cNvGraphicFramePr>
            <a:graphic>
              <a:graphicData uri="http://schemas.openxmlformats.org/drawingml/2006/picture">
                <pic:pic>
                  <pic:nvPicPr>
                    <pic:cNvPr id="0" name="fig_degradation.png"/>
                    <pic:cNvPicPr/>
                  </pic:nvPicPr>
                  <pic:blipFill>
                    <a:blip r:embed="rId15"/>
                    <a:stretch>
                      <a:fillRect/>
                    </a:stretch>
                  </pic:blipFill>
                  <pic:spPr>
                    <a:xfrm>
                      <a:off x="0" y="0"/>
                      <a:ext cx="5029200" cy="1182457"/>
                    </a:xfrm>
                    <a:prstGeom prst="rect"/>
                  </pic:spPr>
                </pic:pic>
              </a:graphicData>
            </a:graphic>
          </wp:inline>
        </w:drawing>
      </w:r>
    </w:p>
    <w:p>
      <w:pPr>
        <w:spacing w:line="240" w:lineRule="auto" w:after="80"/>
        <w:jc w:val="center"/>
      </w:pPr>
      <w:r>
        <w:rPr>
          <w:i/>
          <w:sz w:val="20"/>
        </w:rPr>
        <w:t>Figure 6. Two degradation routes, drawn by the authors. (a) Polyester ester hydrolysis: the acid end group catalyses further scission, so thick parts erode from the inside (bulk erosion). (b) Enzymatic attack on polysaccharides and proteins reaches only the amorphous regions, so crystallinity sets the rate.</w:t>
      </w:r>
    </w:p>
    <w:p>
      <w:pPr>
        <w:pStyle w:val="Heading1"/>
      </w:pPr>
      <w:r>
        <w:t>6. Advantages and Disadvantages Compared with Synthetic Polymers</w:t>
      </w:r>
    </w:p>
    <w:p>
      <w:pPr>
        <w:pStyle w:val="Heading2"/>
      </w:pPr>
      <w:r>
        <w:t>6.1 Where Biopolymers Genuinely Win</w:t>
      </w:r>
    </w:p>
    <w:p>
      <w:pPr>
        <w:jc w:val="both"/>
      </w:pPr>
      <w:r>
        <w:rPr>
          <w:b w:val="0"/>
          <w:i w:val="0"/>
        </w:rPr>
        <w:t>Four advantages come from the structure. A renewable feedstock is the only one uniform across all five families. Biodegradability matters where material is likely to leak into the environment, as with mulch film, fishing gear and disposable foodware: there the tendency to hydrolyse or be attacked by enzymes becomes the point, provided the environment matches the material [51] (§5.4). Biocompatibility and bioresorbability let PLA and PGA sutures [52] and collagen, alginate and chitosan hydrogels and dressings [55] do what commodity synthetics cannot without costly modification; this is the one area (§7) where biopolymers are the only workable class, though not unconditionally (§6.3). Function beyond mechanics, such as chirality, pH-responsive charge and sequence-encoded bioactivity, comes with the biological structure at no extra cost.</w:t>
      </w:r>
    </w:p>
    <w:p>
      <w:pPr>
        <w:pStyle w:val="Heading2"/>
      </w:pPr>
      <w:r>
        <w:t>6.2 Where They Lose, Stated with Numbers</w:t>
      </w:r>
    </w:p>
    <w:p>
      <w:pPr>
        <w:pStyle w:val="ListBullet"/>
      </w:pPr>
      <w:r>
        <w:rPr>
          <w:b/>
          <w:i w:val="0"/>
        </w:rPr>
        <w:t>Price.</w:t>
      </w:r>
      <w:r>
        <w:rPr>
          <w:b w:val="0"/>
          <w:i w:val="0"/>
        </w:rPr>
        <w:t xml:space="preserve"> PLA costs several times as much as commodity PE and PP, and PHA costs more still [16,53]. A price per kilogram for a specific material still needs a current market report.</w:t>
      </w:r>
    </w:p>
    <w:p>
      <w:pPr>
        <w:pStyle w:val="ListBullet"/>
      </w:pPr>
      <w:r>
        <w:rPr>
          <w:b/>
          <w:i w:val="0"/>
        </w:rPr>
        <w:t>Heat and barrier.</w:t>
      </w:r>
      <w:r>
        <w:rPr>
          <w:b w:val="0"/>
          <w:i w:val="0"/>
        </w:rPr>
        <w:t xml:space="preserve"> Without stereocomplexation (§3.2), PLA's heat deflection temperature of about 55 to 65 °C sits well below PP's, which is above 100 °C [13,42]. PLA's O₂ and CO₂ transmission matches that of PET, but its water-vapour barrier is worse, and starch films are worse again [14]. The real weakness is moisture sensitivity (§5.3), not oxygen barrier.</w:t>
      </w:r>
    </w:p>
    <w:p>
      <w:pPr>
        <w:pStyle w:val="ListBullet"/>
      </w:pPr>
      <w:r>
        <w:rPr>
          <w:b/>
          <w:i w:val="0"/>
        </w:rPr>
        <w:t>Brittleness and water uptake.</w:t>
      </w:r>
      <w:r>
        <w:rPr>
          <w:b w:val="0"/>
          <w:i w:val="0"/>
        </w:rPr>
        <w:t xml:space="preserve"> PHB embrittles on storage through secondary crystallisation, and PLA through sub-Tg ageing [43]. Starch properties drift with humidity, and PLA must be dried before melt processing or its molecular weight drops out of control (§4).</w:t>
      </w:r>
    </w:p>
    <w:p>
      <w:pPr>
        <w:pStyle w:val="ListBullet"/>
      </w:pPr>
      <w:r>
        <w:rPr>
          <w:b/>
          <w:i w:val="0"/>
        </w:rPr>
        <w:t>Batch variability.</w:t>
      </w:r>
      <w:r>
        <w:rPr>
          <w:b w:val="0"/>
          <w:i w:val="0"/>
        </w:rPr>
        <w:t xml:space="preserve"> Agricultural sourcing varies in ways petrochemical monomers do not. This covers alginate M and G fractions, chitosan deacetylation, starch amylose content, and NR clone and tree age [19].</w:t>
      </w:r>
    </w:p>
    <w:p>
      <w:pPr>
        <w:pStyle w:val="ListBullet"/>
      </w:pPr>
      <w:r>
        <w:rPr>
          <w:b/>
          <w:i w:val="0"/>
        </w:rPr>
        <w:t>Recycling compatibility.</w:t>
      </w:r>
      <w:r>
        <w:rPr>
          <w:b w:val="0"/>
          <w:i w:val="0"/>
        </w:rPr>
        <w:t xml:space="preserve"> A 2022 study found PLA present at only 0 to 0.019% of PET recycling streams, held by near-infrared sorting below the roughly 1% level that measurably affects recycled PET [15]. This is a dependence on sorting infrastructure, not an inherent incompatibility.</w:t>
      </w:r>
    </w:p>
    <w:p>
      <w:pPr>
        <w:pStyle w:val="Heading2"/>
      </w:pPr>
      <w:r>
        <w:t>6.3 Case Study: Natural Rubber and a Synthetic Analogue (SBR)</w:t>
      </w:r>
    </w:p>
    <w:p>
      <w:pPr>
        <w:jc w:val="both"/>
      </w:pPr>
      <w:r>
        <w:rPr>
          <w:b w:val="0"/>
          <w:i w:val="0"/>
        </w:rPr>
        <w:t>NR and styrene-butadiene rubber (SBR) are compounded, filled and vulcanised the same way, and they compete in the same applications, such as tyre tread, damping and belting. This makes it the cleanest same-application comparison in the review, because the differences trace to backbone chemistry rather than to processing. Fig. 7 shows where the difference starts at the chain scale (strain-induced crystallisation). Table 5 scores both materials across five dimensions [10,18–32].</w:t>
      </w:r>
    </w:p>
    <w:p>
      <w:pPr>
        <w:keepNext/>
        <w:spacing w:after="40"/>
        <w:jc w:val="center"/>
      </w:pPr>
      <w:r>
        <w:drawing>
          <wp:inline xmlns:a="http://schemas.openxmlformats.org/drawingml/2006/main" xmlns:pic="http://schemas.openxmlformats.org/drawingml/2006/picture">
            <wp:extent cx="5029200" cy="1892683"/>
            <wp:docPr id="7" name="Picture 7"/>
            <wp:cNvGraphicFramePr>
              <a:graphicFrameLocks noChangeAspect="1"/>
            </wp:cNvGraphicFramePr>
            <a:graphic>
              <a:graphicData uri="http://schemas.openxmlformats.org/drawingml/2006/picture">
                <pic:pic>
                  <pic:nvPicPr>
                    <pic:cNvPr id="0" name="fig8_nr_sbr_comparison.png"/>
                    <pic:cNvPicPr/>
                  </pic:nvPicPr>
                  <pic:blipFill>
                    <a:blip r:embed="rId16"/>
                    <a:stretch>
                      <a:fillRect/>
                    </a:stretch>
                  </pic:blipFill>
                  <pic:spPr>
                    <a:xfrm>
                      <a:off x="0" y="0"/>
                      <a:ext cx="5029200" cy="1892683"/>
                    </a:xfrm>
                    <a:prstGeom prst="rect"/>
                  </pic:spPr>
                </pic:pic>
              </a:graphicData>
            </a:graphic>
          </wp:inline>
        </w:drawing>
      </w:r>
    </w:p>
    <w:p>
      <w:pPr>
        <w:spacing w:line="240" w:lineRule="auto" w:after="80"/>
        <w:jc w:val="center"/>
      </w:pPr>
      <w:r>
        <w:rPr>
          <w:i/>
          <w:sz w:val="20"/>
        </w:rPr>
        <w:t>Figure 7. NR and SBR, drawn by the authors. (a) NR (cis-1,4-polyisoprene), (b) SBR 1,4-butadiene unit, (c) SBR styrene unit. (d) At the chain scale, stereoregular NR aligns into crystalline bundles under strain (strain-induced crystallisation, confirmed by X-ray), while SBR's irregular backbone stays amorphous. This is the basis of the "SIC and tear resistance" row of Table 5.</w:t>
      </w:r>
    </w:p>
    <w:p>
      <w:pPr>
        <w:spacing w:line="240" w:lineRule="auto" w:after="40"/>
      </w:pPr>
      <w:r>
        <w:rPr>
          <w:b/>
          <w:i w:val="0"/>
          <w:sz w:val="20"/>
        </w:rPr>
        <w:t>Table 5.</w:t>
      </w:r>
      <w:r>
        <w:rPr>
          <w:b w:val="0"/>
          <w:i w:val="0"/>
          <w:sz w:val="20"/>
        </w:rPr>
        <w:t xml:space="preserve"> NR and SBR: structurally favourable, formulation- or context-dependent, or a documented risk.</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Under matched compounding, NR's strain-induced crystallisation gives better tear and crack-growth resistance to start with [10,23]. SBR then reaches comparable wear resistance through reinforcement and cure design [24]. This is the clearest case in the review of backbone chemistry trading off against formulation. The "natural is better" story does not survive the literature. NR latex carries a real allergy risk that SBR does not [27,28]. Being renewable does not automatically mean a lower life-cycle footprint [29,30]. And NR pricing has been the more volatile of the two, for climate and disease reasons that have nothing to do with polymer chemistry [32].</w:t>
      </w:r>
    </w:p>
    <w:p>
      <w:pPr>
        <w:pStyle w:val="Heading1"/>
      </w:pPr>
      <w:r>
        <w:t>7. Applications</w:t>
      </w:r>
    </w:p>
    <w:p>
      <w:pPr>
        <w:jc w:val="both"/>
      </w:pPr>
      <w:r>
        <w:rPr>
          <w:b w:val="0"/>
          <w:i w:val="0"/>
        </w:rPr>
        <w:t>Table 4 lists each application by the property it needs, then the material that meets it (§3 gave the per-material uses). Two patterns stand out. Packaging needs an O₂ and H₂O barrier, toughness and heat resistance above PLA's heat deflection temperature all at once (§6.2). No single biopolymer gives all three (§5.3), so packaging is almost always multilayer or blended. Biomedical use is the one area where biopolymers are close to unique, because they combine biocompatibility with a degradation rate that can be tuned (§5.4). PGA and PLGA sutures fail mainly through a local drop in pH from their acidic hydrolysis products [52,53], and collagen, alginate and chitosan carry the same logic over to scaffolds and bioprinting [55].</w:t>
      </w:r>
    </w:p>
    <w:p>
      <w:pPr>
        <w:spacing w:line="240" w:lineRule="auto" w:after="40"/>
      </w:pPr>
      <w:r>
        <w:rPr>
          <w:b/>
          <w:i w:val="0"/>
          <w:sz w:val="20"/>
        </w:rPr>
        <w:t>Table 4.</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(§6.3)</w:t>
            </w:r>
          </w:p>
        </w:tc>
      </w:tr>
    </w:tbl>
    <w:p>
      <w:pPr>
        <w:spacing w:after="0" w:line="240" w:lineRule="auto"/>
      </w:pPr>
    </w:p>
    <w:p>
      <w:pPr>
        <w:pStyle w:val="Heading1"/>
      </w:pPr>
      <w:r>
        <w:t>8. Conclusions</w:t>
      </w:r>
    </w:p>
    <w:p>
      <w:pPr>
        <w:jc w:val="both"/>
      </w:pPr>
      <w:r>
        <w:rPr>
          <w:b w:val="0"/>
          <w:i w:val="0"/>
        </w:rPr>
        <w:t>Three judgements follow. First, the performance ceiling is thermal and hygroscopic (§5.1, §5.3), not mechanical. Most families meet or exceed the stiffness of synthetic polymers and fail instead on processing window and moisture. Second, crystallinity governs the whole trade-off (§5.4). It supplies stiffness, keeps water out and keeps degradative attack out, so raising one of these lowers the other two. The NR and SBR case study (§6.3) reaches the same trade-off through formulation alone. Third, a molecular-weight figure means little without the method used to measure it (§4). The features that make molecular weight hard to measure are the same ones that explain performance.</w:t>
      </w:r>
    </w:p>
    <w:p>
      <w:pPr>
        <w:jc w:val="both"/>
      </w:pPr>
      <w:r>
        <w:rPr>
          <w:b w:val="0"/>
          <w:i w:val="0"/>
        </w:rPr>
        <w:t>Bio-based plastics were about 2.31 Mt of capacity in 2025, roughly 0.5% of all plastics [16]. Scaling up will not by itself fix the processing window, the humidity sensitivity or the batch variability; the nearer-term routes to those are enzymatic depolymerisation back to monomer [17] and ⚙️ data-driven property prediction [56].</w:t>
      </w:r>
    </w:p>
    <w:p>
      <w:pPr>
        <w:pStyle w:val="Heading1"/>
      </w:pPr>
      <w:r>
        <w:t>References</w:t>
      </w:r>
    </w:p>
    <w:p>
      <w:pPr>
        <w:spacing w:line="240" w:lineRule="auto" w:after="80"/>
        <w:jc w:val="both"/>
      </w:pPr>
      <w:r>
        <w:rPr>
          <w:i/>
        </w:rPr>
        <w:t>56 entries; every DOI checked against Crossref. References, tables of contents and appendices do not count toward the 10-page body limit.</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et al.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et al.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