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 reported molecular weight means little unless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ester-hydrolysis barriers rise in the order base-catalysed &lt; acid-catalysed &lt; neutral, matching the measured pH dependence of the rate.</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