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生物聚合物：结构、性质与性能极限</w:t>
      </w:r>
    </w:p>
    <w:p>
      <w:pPr>
        <w:jc w:val="center"/>
      </w:pPr>
      <w:r>
        <w:rPr>
          <w:i/>
        </w:rPr>
        <w:t>CM5174 课程报告中文对照稿 · 供作者本人阅读核对用，不用于提交（题目要求英文提交）</w:t>
      </w:r>
    </w:p>
    <w:p>
      <w:r>
        <w:rPr>
          <w:b/>
          <w:i/>
        </w:rPr>
        <w:t>译者说明</w:t>
      </w:r>
      <w:r>
        <w:rPr>
          <w:b w:val="0"/>
          <w:i/>
        </w:rPr>
        <w:t xml:space="preserve">：本文是英文正文 </w:t>
      </w:r>
      <w:r>
        <w:rPr>
          <w:rFonts w:ascii="Consolas" w:hAnsi="Consolas"/>
          <w:i/>
        </w:rPr>
        <w:t>report.md</w:t>
      </w:r>
      <w:r>
        <w:rPr>
          <w:b w:val="0"/>
          <w:i/>
        </w:rPr>
        <w:t xml:space="preserve"> 的中文对照稿，逐节对应，供两位作者核对内容、术语和论证逻辑。行文按英文正文的改写重做：句子改短，§3 先讲性质和用途、再讲结构原因。图为 6 张多面板合集图，图内文字是英文；参考文献著录格式保留英文。 </w:t>
      </w:r>
      <w:r>
        <w:rPr>
          <w:b/>
          <w:i/>
        </w:rPr>
        <w:t>注意：2026-08-30 已按英文稿做过一轮同步（表 2 行数、表 4/表 5 编号、§8 数据、SIC 缩写等）；如两稿仍有出入，一律以英文稿 `report.md` 为准。</w:t>
      </w:r>
    </w:p>
    <w:p>
      <w:pPr>
        <w:pStyle w:val="Heading1"/>
      </w:pPr>
      <w:r>
        <w:t>摘要</w:t>
      </w:r>
    </w:p>
    <w:p>
      <w:pPr>
        <w:jc w:val="both"/>
      </w:pPr>
      <w:r>
        <w:rPr>
          <w:b w:val="0"/>
          <w:i w:val="0"/>
        </w:rPr>
        <w:t>生物聚合物由可再生资源制成，或从可再生资源衍生而来。主要的几个家族是多糖、蛋白质、生物聚酯、木质素和天然橡胶。它们是石油基塑料的候选替代品。它们的性质，以及这些性质的上限，都直接由聚合物主链的化学结构决定。本文按主链上重复的连接方式给这些家族分类，而不按生物来源分类。对每种材料，先给出关键性质和用途，再说明结构原因。全文有三条贯穿的规律。第一，性能上限由热行为和对水的敏感性决定，不由强度决定。第二，结晶度控制着一个三方权衡：让材料变硬的结晶度，同时也挡住水、并减慢会降解材料的水解或酶解，所以改善一项性质往往会让另外两项变差。第三，一个分子量数据只有连同测定方法一起给出时才有用。天然橡胶与合成 SBR 的简短对比说明，同一个"主链化学与配方之间的权衡"也出现在单一应用内部。每一张图都由代码从引用数据和化学结构生成，结构式还由脚本核对过立体化学。</w:t>
      </w:r>
    </w:p>
    <w:p>
      <w:pPr>
        <w:jc w:val="both"/>
      </w:pPr>
      <w:r>
        <w:rPr>
          <w:b/>
          <w:i w:val="0"/>
        </w:rPr>
        <w:t>关键词：</w:t>
      </w:r>
      <w:r>
        <w:rPr>
          <w:b w:val="0"/>
          <w:i w:val="0"/>
        </w:rPr>
        <w:t xml:space="preserve"> 生物聚合物；纤维素；聚乳酸；聚羟基脂肪酸酯；分子量分布；生物降解；结构与性质的关系</w:t>
      </w:r>
    </w:p>
    <w:p>
      <w:pPr>
        <w:pStyle w:val="Heading1"/>
      </w:pPr>
      <w:r>
        <w:t>1. 引言与定义</w:t>
      </w:r>
    </w:p>
    <w:p>
      <w:pPr>
        <w:jc w:val="both"/>
      </w:pPr>
      <w:r>
        <w:rPr>
          <w:b w:val="0"/>
          <w:i w:val="0"/>
        </w:rPr>
        <w:t>生物聚合物是生物体合成的大分子。多糖、蛋白质、核酸、</w:t>
      </w:r>
      <w:r>
        <w:rPr>
          <w:i/>
        </w:rPr>
        <w:t>顺</w:t>
      </w:r>
      <w:r>
        <w:rPr>
          <w:b w:val="0"/>
          <w:i w:val="0"/>
        </w:rPr>
        <w:t>-1,4-聚异戊二烯和木质素，合起来构成了地球上大部分的有机聚合物 [1]。本文也讨论由取自生物质的单体经化学聚合而成的聚合物。主要例子是聚乳酸（PLA）。它的性质放在真正的生物聚合物旁边最容易理解，所以在本文中和它们放在一起讲。</w:t>
      </w:r>
    </w:p>
    <w:p>
      <w:pPr>
        <w:jc w:val="both"/>
      </w:pPr>
      <w:r>
        <w:rPr>
          <w:b w:val="0"/>
          <w:i w:val="0"/>
        </w:rPr>
        <w:t>这类链和合成聚合物有三个结构上的差别。第一，生物合成按模板进行，因此链长和序列被精确固定；蛋白质和核酸完全均一（Đ = 1.0）。第二，细胞里的单体供应是单一对映体，所以链天然就是立构规整的。第三，几乎每个重复单元上都带有羟基、酰胺基或羰基，这让链之间的相互吸引远强于聚乙烯或聚丙烯的链。下文讨论的每一条性质和每一条局限都来自这三个特征。它们带来高刚性和高结晶度，但也带来脆性、对水的敏感性，以及贴近甚至低于熔点的分解温度（§5.4）。</w:t>
      </w:r>
    </w:p>
    <w:p>
      <w:pPr>
        <w:jc w:val="both"/>
      </w:pPr>
      <w:r>
        <w:rPr>
          <w:b w:val="0"/>
          <w:i w:val="0"/>
        </w:rPr>
        <w:t>本文的顺序是：分类（§2）、逐个家族的综述（§3）、分子量（§4）、所有家族共有的性质规律（§5）、与合成聚合物的比较（§6）和应用（§7）。</w:t>
      </w:r>
    </w:p>
    <w:p>
      <w:pPr>
        <w:pStyle w:val="Heading1"/>
      </w:pPr>
      <w:r>
        <w:t>2. 生物聚合物的类型</w:t>
      </w:r>
    </w:p>
    <w:p>
      <w:pPr>
        <w:jc w:val="both"/>
      </w:pPr>
      <w:r>
        <w:rPr>
          <w:b w:val="0"/>
          <w:i w:val="0"/>
        </w:rPr>
        <w:t>生物聚合物通常先按来源分类：从生物质中提取、由微生物合成，或由生物基单体聚合而成。但来源不能很好地预测行为。同一来源的两种材料，加工和降解方式可能完全不同；不同来源的两种材料，行为却可能一样。主链上重复的连接方式是更好的判据，因为它决定了材料能否在熔融中存活，以及它如何降解。因此本文按主链化学来组织（表 1）。来源只作为每种材料的一个小标签保留，因为它仍能解释同一类别内分子量和纯度为什么会有差异（§4）。</w:t>
      </w:r>
    </w:p>
    <w:p>
      <w:pPr>
        <w:spacing w:line="240" w:lineRule="auto" w:after="40"/>
      </w:pPr>
      <w:r>
        <w:rPr>
          <w:b/>
          <w:i w:val="0"/>
          <w:sz w:val="20"/>
        </w:rPr>
        <w:t>表 1.</w:t>
      </w:r>
      <w:r>
        <w:rPr>
          <w:b w:val="0"/>
          <w:i w:val="0"/>
          <w:sz w:val="20"/>
        </w:rPr>
        <w:t xml:space="preserve"> 生物聚合物按主链化学的分类，这是本文组织的主轴。来源（提取／微生物／生物基单体）是次要属性，不是第一层划分。</w:t>
      </w:r>
    </w:p>
    <w:tbl>
      <w:tblPr>
        <w:tblW w:type="auto" w:w="0"/>
        <w:jc w:val="center"/>
        <w:tblLayout w:type="fixed"/>
        <w:tblLook w:firstColumn="1" w:firstRow="1" w:lastColumn="0" w:lastRow="0" w:noHBand="0" w:noVBand="1" w:val="04A0"/>
        <w:tblLayout w:type="fixed"/>
      </w:tblPr>
      <w:tblGrid>
        <w:gridCol w:w="1248"/>
        <w:gridCol w:w="1791"/>
        <w:gridCol w:w="2725"/>
        <w:gridCol w:w="3161"/>
      </w:tblGrid>
      <w:tr>
        <w:tc>
          <w:tcPr>
            <w:tcW w:type="dxa" w:w="1249"/>
            <w:tcBorders>
              <w:top w:val="single" w:sz="8" w:space="0" w:color="000000"/>
              <w:bottom w:val="single" w:sz="8" w:space="0" w:color="000000"/>
            </w:tcBorders>
          </w:tcPr>
          <w:p>
            <w:pPr>
              <w:spacing w:after="10" w:before="10" w:line="240" w:lineRule="auto"/>
            </w:pPr>
            <w:r>
              <w:rPr>
                <w:rFonts w:ascii="Arial" w:hAnsi="Arial"/>
                <w:b/>
                <w:i w:val="0"/>
                <w:sz w:val="16"/>
              </w:rPr>
              <w:t>主链类别</w:t>
            </w:r>
          </w:p>
        </w:tc>
        <w:tc>
          <w:tcPr>
            <w:tcW w:type="dxa" w:w="1792"/>
            <w:tcBorders>
              <w:top w:val="single" w:sz="8" w:space="0" w:color="000000"/>
              <w:bottom w:val="single" w:sz="8" w:space="0" w:color="000000"/>
            </w:tcBorders>
          </w:tcPr>
          <w:p>
            <w:pPr>
              <w:spacing w:after="10" w:before="10" w:line="240" w:lineRule="auto"/>
            </w:pPr>
            <w:r>
              <w:rPr>
                <w:rFonts w:ascii="Arial" w:hAnsi="Arial"/>
                <w:b/>
                <w:i w:val="0"/>
                <w:sz w:val="16"/>
              </w:rPr>
              <w:t>重复连接方式</w:t>
            </w:r>
          </w:p>
        </w:tc>
        <w:tc>
          <w:tcPr>
            <w:tcW w:type="dxa" w:w="2726"/>
            <w:tcBorders>
              <w:top w:val="single" w:sz="8" w:space="0" w:color="000000"/>
              <w:bottom w:val="single" w:sz="8" w:space="0" w:color="000000"/>
            </w:tcBorders>
          </w:tcPr>
          <w:p>
            <w:pPr>
              <w:spacing w:after="10" w:before="10" w:line="240" w:lineRule="auto"/>
            </w:pPr>
            <w:r>
              <w:rPr>
                <w:rFonts w:ascii="Arial" w:hAnsi="Arial"/>
                <w:b/>
                <w:i w:val="0"/>
                <w:sz w:val="16"/>
              </w:rPr>
              <w:t>代表材料</w:t>
            </w:r>
          </w:p>
        </w:tc>
        <w:tc>
          <w:tcPr>
            <w:tcW w:type="dxa" w:w="3162"/>
            <w:tcBorders>
              <w:top w:val="single" w:sz="8" w:space="0" w:color="000000"/>
              <w:bottom w:val="single" w:sz="8" w:space="0" w:color="000000"/>
            </w:tcBorders>
          </w:tcPr>
          <w:p>
            <w:pPr>
              <w:spacing w:after="10" w:before="10" w:line="240" w:lineRule="auto"/>
            </w:pPr>
            <w:r>
              <w:rPr>
                <w:rFonts w:ascii="Arial" w:hAnsi="Arial"/>
                <w:b/>
                <w:i w:val="0"/>
                <w:sz w:val="16"/>
              </w:rPr>
              <w:t>典型行为</w:t>
            </w:r>
          </w:p>
        </w:tc>
      </w:tr>
      <w:tr>
        <w:tc>
          <w:tcPr>
            <w:tcW w:type="dxa" w:w="1249"/>
            <w:tcBorders>
              <w:top w:val="nil"/>
              <w:bottom w:val="nil"/>
            </w:tcBorders>
          </w:tcPr>
          <w:p>
            <w:pPr>
              <w:spacing w:after="10" w:before="10" w:line="240" w:lineRule="auto"/>
            </w:pPr>
            <w:r>
              <w:rPr>
                <w:rFonts w:ascii="Arial" w:hAnsi="Arial"/>
                <w:b w:val="0"/>
                <w:i w:val="0"/>
                <w:sz w:val="16"/>
              </w:rPr>
              <w:t>多糖</w:t>
            </w:r>
          </w:p>
        </w:tc>
        <w:tc>
          <w:tcPr>
            <w:tcW w:type="dxa" w:w="1792"/>
            <w:tcBorders>
              <w:top w:val="nil"/>
              <w:bottom w:val="nil"/>
            </w:tcBorders>
          </w:tcPr>
          <w:p>
            <w:pPr>
              <w:spacing w:after="10" w:before="10" w:line="240" w:lineRule="auto"/>
            </w:pPr>
            <w:r>
              <w:rPr>
                <w:rFonts w:ascii="Arial" w:hAnsi="Arial"/>
                <w:b w:val="0"/>
                <w:i w:val="0"/>
                <w:sz w:val="16"/>
              </w:rPr>
              <w:t>糖苷键（缩醛）</w:t>
            </w:r>
          </w:p>
        </w:tc>
        <w:tc>
          <w:tcPr>
            <w:tcW w:type="dxa" w:w="2726"/>
            <w:tcBorders>
              <w:top w:val="nil"/>
              <w:bottom w:val="nil"/>
            </w:tcBorders>
          </w:tcPr>
          <w:p>
            <w:pPr>
              <w:spacing w:after="10" w:before="10" w:line="240" w:lineRule="auto"/>
            </w:pPr>
            <w:r>
              <w:rPr>
                <w:rFonts w:ascii="Arial" w:hAnsi="Arial"/>
                <w:b w:val="0"/>
                <w:i w:val="0"/>
                <w:sz w:val="16"/>
              </w:rPr>
              <w:t>纤维素、淀粉、壳聚糖、海藻酸盐</w:t>
            </w:r>
          </w:p>
        </w:tc>
        <w:tc>
          <w:tcPr>
            <w:tcW w:type="dxa" w:w="3162"/>
            <w:tcBorders>
              <w:top w:val="nil"/>
              <w:bottom w:val="nil"/>
            </w:tcBorders>
          </w:tcPr>
          <w:p>
            <w:pPr>
              <w:spacing w:after="10" w:before="10" w:line="240" w:lineRule="auto"/>
            </w:pPr>
            <w:r>
              <w:rPr>
                <w:rFonts w:ascii="Arial" w:hAnsi="Arial"/>
                <w:b w:val="0"/>
                <w:i w:val="0"/>
                <w:sz w:val="16"/>
              </w:rPr>
              <w:t>链间氢键密集；先分解后熔融；酶促降解</w:t>
            </w:r>
          </w:p>
        </w:tc>
      </w:tr>
      <w:tr>
        <w:tc>
          <w:tcPr>
            <w:tcW w:type="dxa" w:w="1249"/>
            <w:tcBorders>
              <w:top w:val="nil"/>
              <w:bottom w:val="nil"/>
            </w:tcBorders>
          </w:tcPr>
          <w:p>
            <w:pPr>
              <w:spacing w:after="10" w:before="10" w:line="240" w:lineRule="auto"/>
            </w:pPr>
            <w:r>
              <w:rPr>
                <w:rFonts w:ascii="Arial" w:hAnsi="Arial"/>
                <w:b w:val="0"/>
                <w:i w:val="0"/>
                <w:sz w:val="16"/>
              </w:rPr>
              <w:t>聚酯</w:t>
            </w:r>
          </w:p>
        </w:tc>
        <w:tc>
          <w:tcPr>
            <w:tcW w:type="dxa" w:w="1792"/>
            <w:tcBorders>
              <w:top w:val="nil"/>
              <w:bottom w:val="nil"/>
            </w:tcBorders>
          </w:tcPr>
          <w:p>
            <w:pPr>
              <w:spacing w:after="10" w:before="10" w:line="240" w:lineRule="auto"/>
            </w:pPr>
            <w:r>
              <w:rPr>
                <w:rFonts w:ascii="Arial" w:hAnsi="Arial"/>
                <w:b w:val="0"/>
                <w:i w:val="0"/>
                <w:sz w:val="16"/>
              </w:rPr>
              <w:t>酯键</w:t>
            </w:r>
          </w:p>
        </w:tc>
        <w:tc>
          <w:tcPr>
            <w:tcW w:type="dxa" w:w="2726"/>
            <w:tcBorders>
              <w:top w:val="nil"/>
              <w:bottom w:val="nil"/>
            </w:tcBorders>
          </w:tcPr>
          <w:p>
            <w:pPr>
              <w:spacing w:after="10" w:before="10" w:line="240" w:lineRule="auto"/>
            </w:pPr>
            <w:r>
              <w:rPr>
                <w:rFonts w:ascii="Arial" w:hAnsi="Arial"/>
                <w:b w:val="0"/>
                <w:i w:val="0"/>
                <w:sz w:val="16"/>
              </w:rPr>
              <w:t>PHA、PLA</w:t>
            </w:r>
          </w:p>
        </w:tc>
        <w:tc>
          <w:tcPr>
            <w:tcW w:type="dxa" w:w="3162"/>
            <w:tcBorders>
              <w:top w:val="nil"/>
              <w:bottom w:val="nil"/>
            </w:tcBorders>
          </w:tcPr>
          <w:p>
            <w:pPr>
              <w:spacing w:after="10" w:before="10" w:line="240" w:lineRule="auto"/>
            </w:pPr>
            <w:r>
              <w:rPr>
                <w:rFonts w:ascii="Arial" w:hAnsi="Arial"/>
                <w:b w:val="0"/>
                <w:i w:val="0"/>
                <w:sz w:val="16"/>
              </w:rPr>
              <w:t>可熔融加工但热稳定性差；自催化水解</w:t>
            </w:r>
          </w:p>
        </w:tc>
      </w:tr>
      <w:tr>
        <w:tc>
          <w:tcPr>
            <w:tcW w:type="dxa" w:w="1249"/>
            <w:tcBorders>
              <w:top w:val="nil"/>
              <w:bottom w:val="nil"/>
            </w:tcBorders>
          </w:tcPr>
          <w:p>
            <w:pPr>
              <w:spacing w:after="10" w:before="10" w:line="240" w:lineRule="auto"/>
            </w:pPr>
            <w:r>
              <w:rPr>
                <w:rFonts w:ascii="Arial" w:hAnsi="Arial"/>
                <w:b w:val="0"/>
                <w:i w:val="0"/>
                <w:sz w:val="16"/>
              </w:rPr>
              <w:t>蛋白质</w:t>
            </w:r>
          </w:p>
        </w:tc>
        <w:tc>
          <w:tcPr>
            <w:tcW w:type="dxa" w:w="1792"/>
            <w:tcBorders>
              <w:top w:val="nil"/>
              <w:bottom w:val="nil"/>
            </w:tcBorders>
          </w:tcPr>
          <w:p>
            <w:pPr>
              <w:spacing w:after="10" w:before="10" w:line="240" w:lineRule="auto"/>
            </w:pPr>
            <w:r>
              <w:rPr>
                <w:rFonts w:ascii="Arial" w:hAnsi="Arial"/>
                <w:b w:val="0"/>
                <w:i w:val="0"/>
                <w:sz w:val="16"/>
              </w:rPr>
              <w:t>酰胺键</w:t>
            </w:r>
          </w:p>
        </w:tc>
        <w:tc>
          <w:tcPr>
            <w:tcW w:type="dxa" w:w="2726"/>
            <w:tcBorders>
              <w:top w:val="nil"/>
              <w:bottom w:val="nil"/>
            </w:tcBorders>
          </w:tcPr>
          <w:p>
            <w:pPr>
              <w:spacing w:after="10" w:before="10" w:line="240" w:lineRule="auto"/>
            </w:pPr>
            <w:r>
              <w:rPr>
                <w:rFonts w:ascii="Arial" w:hAnsi="Arial"/>
                <w:b w:val="0"/>
                <w:i w:val="0"/>
                <w:sz w:val="16"/>
              </w:rPr>
              <w:t>丝素蛋白、胶原蛋白/明胶</w:t>
            </w:r>
          </w:p>
        </w:tc>
        <w:tc>
          <w:tcPr>
            <w:tcW w:type="dxa" w:w="3162"/>
            <w:tcBorders>
              <w:top w:val="nil"/>
              <w:bottom w:val="nil"/>
            </w:tcBorders>
          </w:tcPr>
          <w:p>
            <w:pPr>
              <w:spacing w:after="10" w:before="10" w:line="240" w:lineRule="auto"/>
            </w:pPr>
            <w:r>
              <w:rPr>
                <w:rFonts w:ascii="Arial" w:hAnsi="Arial"/>
                <w:b w:val="0"/>
                <w:i w:val="0"/>
                <w:sz w:val="16"/>
              </w:rPr>
              <w:t>序列确定、单分散；构象决定性质</w:t>
            </w:r>
          </w:p>
        </w:tc>
      </w:tr>
      <w:tr>
        <w:tc>
          <w:tcPr>
            <w:tcW w:type="dxa" w:w="1249"/>
            <w:tcBorders>
              <w:top w:val="nil"/>
              <w:bottom w:val="nil"/>
            </w:tcBorders>
          </w:tcPr>
          <w:p>
            <w:pPr>
              <w:spacing w:after="10" w:before="10" w:line="240" w:lineRule="auto"/>
            </w:pPr>
            <w:r>
              <w:rPr>
                <w:rFonts w:ascii="Arial" w:hAnsi="Arial"/>
                <w:b w:val="0"/>
                <w:i w:val="0"/>
                <w:sz w:val="16"/>
              </w:rPr>
              <w:t>聚酚</w:t>
            </w:r>
          </w:p>
        </w:tc>
        <w:tc>
          <w:tcPr>
            <w:tcW w:type="dxa" w:w="1792"/>
            <w:tcBorders>
              <w:top w:val="nil"/>
              <w:bottom w:val="nil"/>
            </w:tcBorders>
          </w:tcPr>
          <w:p>
            <w:pPr>
              <w:spacing w:after="10" w:before="10" w:line="240" w:lineRule="auto"/>
            </w:pPr>
            <w:r>
              <w:rPr>
                <w:rFonts w:ascii="Arial" w:hAnsi="Arial"/>
                <w:b w:val="0"/>
                <w:i w:val="0"/>
                <w:sz w:val="16"/>
              </w:rPr>
              <w:t>β-O-4 醚键、C-C 键</w:t>
            </w:r>
          </w:p>
        </w:tc>
        <w:tc>
          <w:tcPr>
            <w:tcW w:type="dxa" w:w="2726"/>
            <w:tcBorders>
              <w:top w:val="nil"/>
              <w:bottom w:val="nil"/>
            </w:tcBorders>
          </w:tcPr>
          <w:p>
            <w:pPr>
              <w:spacing w:after="10" w:before="10" w:line="240" w:lineRule="auto"/>
            </w:pPr>
            <w:r>
              <w:rPr>
                <w:rFonts w:ascii="Arial" w:hAnsi="Arial"/>
                <w:b w:val="0"/>
                <w:i w:val="0"/>
                <w:sz w:val="16"/>
              </w:rPr>
              <w:t>木质素</w:t>
            </w:r>
          </w:p>
        </w:tc>
        <w:tc>
          <w:tcPr>
            <w:tcW w:type="dxa" w:w="3162"/>
            <w:tcBorders>
              <w:top w:val="nil"/>
              <w:bottom w:val="nil"/>
            </w:tcBorders>
          </w:tcPr>
          <w:p>
            <w:pPr>
              <w:spacing w:after="10" w:before="10" w:line="240" w:lineRule="auto"/>
            </w:pPr>
            <w:r>
              <w:rPr>
                <w:rFonts w:ascii="Arial" w:hAnsi="Arial"/>
                <w:b w:val="0"/>
                <w:i w:val="0"/>
                <w:sz w:val="16"/>
              </w:rPr>
              <w:t>不规则、交联、无定形；化学惰性强</w:t>
            </w:r>
          </w:p>
        </w:tc>
      </w:tr>
      <w:tr>
        <w:tc>
          <w:tcPr>
            <w:tcW w:type="dxa" w:w="1249"/>
            <w:tcBorders>
              <w:top w:val="nil"/>
              <w:bottom w:val="single" w:sz="8" w:space="0" w:color="000000"/>
            </w:tcBorders>
          </w:tcPr>
          <w:p>
            <w:pPr>
              <w:spacing w:after="10" w:before="10" w:line="240" w:lineRule="auto"/>
            </w:pPr>
            <w:r>
              <w:rPr>
                <w:rFonts w:ascii="Arial" w:hAnsi="Arial"/>
                <w:b w:val="0"/>
                <w:i w:val="0"/>
                <w:sz w:val="16"/>
              </w:rPr>
              <w:t>聚异戊二烯</w:t>
            </w:r>
          </w:p>
        </w:tc>
        <w:tc>
          <w:tcPr>
            <w:tcW w:type="dxa" w:w="1792"/>
            <w:tcBorders>
              <w:top w:val="nil"/>
              <w:bottom w:val="single" w:sz="8" w:space="0" w:color="000000"/>
            </w:tcBorders>
          </w:tcPr>
          <w:p>
            <w:pPr>
              <w:spacing w:after="10" w:before="10" w:line="240" w:lineRule="auto"/>
            </w:pPr>
            <w:r>
              <w:rPr>
                <w:rFonts w:ascii="Arial" w:hAnsi="Arial"/>
                <w:b w:val="0"/>
                <w:i w:val="0"/>
                <w:sz w:val="16"/>
              </w:rPr>
              <w:t>C-C 键</w:t>
            </w:r>
          </w:p>
        </w:tc>
        <w:tc>
          <w:tcPr>
            <w:tcW w:type="dxa" w:w="2726"/>
            <w:tcBorders>
              <w:top w:val="nil"/>
              <w:bottom w:val="single" w:sz="8" w:space="0" w:color="000000"/>
            </w:tcBorders>
          </w:tcPr>
          <w:p>
            <w:pPr>
              <w:spacing w:after="10" w:before="10" w:line="240" w:lineRule="auto"/>
            </w:pPr>
            <w:r>
              <w:rPr>
                <w:rFonts w:ascii="Arial" w:hAnsi="Arial"/>
                <w:b w:val="0"/>
                <w:i w:val="0"/>
                <w:sz w:val="16"/>
              </w:rPr>
              <w:t>天然橡胶</w:t>
            </w:r>
          </w:p>
        </w:tc>
        <w:tc>
          <w:tcPr>
            <w:tcW w:type="dxa" w:w="3162"/>
            <w:tcBorders>
              <w:top w:val="nil"/>
              <w:bottom w:val="single" w:sz="8" w:space="0" w:color="000000"/>
            </w:tcBorders>
          </w:tcPr>
          <w:p>
            <w:pPr>
              <w:spacing w:after="10" w:before="10" w:line="240" w:lineRule="auto"/>
            </w:pPr>
            <w:r>
              <w:rPr>
                <w:rFonts w:ascii="Arial" w:hAnsi="Arial"/>
                <w:b w:val="0"/>
                <w:i w:val="0"/>
                <w:sz w:val="16"/>
              </w:rPr>
              <w:t>弹性体；应变诱导结晶</w:t>
            </w:r>
          </w:p>
        </w:tc>
      </w:tr>
    </w:tbl>
    <w:p>
      <w:pPr>
        <w:spacing w:after="0" w:line="240" w:lineRule="auto"/>
      </w:pPr>
    </w:p>
    <w:p>
      <w:pPr>
        <w:pStyle w:val="Heading1"/>
      </w:pPr>
      <w:r>
        <w:t>3. 主要生物聚合物家族的结构与性质关系</w:t>
      </w:r>
    </w:p>
    <w:p>
      <w:pPr>
        <w:jc w:val="both"/>
      </w:pPr>
      <w:r>
        <w:rPr>
          <w:b w:val="0"/>
          <w:i w:val="0"/>
        </w:rPr>
        <w:t>下面对每种材料，先给关键性质和用途，再给结构原因。全节要检验的一点是：能预测熔融行为、水或酶的攻击、以及力学性能的是主链化学，而不是生物来源。数值都在表 2 里。图 1 汇总了所有重复单元，图 2 汇总了所有高阶结构。</w:t>
      </w:r>
    </w:p>
    <w:p>
      <w:pPr>
        <w:pStyle w:val="Heading2"/>
      </w:pPr>
      <w:r>
        <w:t>3.1 多糖</w:t>
      </w:r>
    </w:p>
    <w:p>
      <w:pPr>
        <w:jc w:val="both"/>
      </w:pPr>
      <w:r>
        <w:rPr>
          <w:b/>
          <w:i w:val="0"/>
        </w:rPr>
        <w:t>纤维素</w:t>
      </w:r>
      <w:r>
        <w:rPr>
          <w:b w:val="0"/>
          <w:i w:val="0"/>
        </w:rPr>
        <w:t>是本文中最硬的材料。它的晶体沿链轴的模量约为 130 到 150 GPa，再生纤维能达到 10 到 30 GPa [35]。它不熔融，在约 300 °C 分解。因为没有熔融这一步，纤维素总是从溶液中成型。它用作 Lyocell 和粘胶纺织纤维 [36]、透明薄膜，以及用作增强填料的纤维素纳米晶体或纳米纤丝 [2]。结构原因是：线性的 β-(1→4) 链（图 1a）形成伸展的扁平带状结构。氢键把这些带状链锁进堆叠的 Iα 和 Iβ 片层（图 2a）。把片层结合在一起的总能量大于主链键的强度 [33,34]，所以溶解纤维素的唯一办法是用能破坏氢键网络的溶剂，比如 Lyocell 工艺里的 NMMO [37]，或 DMAc 里的 LiCl。</w:t>
      </w:r>
    </w:p>
    <w:p>
      <w:pPr>
        <w:jc w:val="both"/>
      </w:pPr>
      <w:r>
        <w:rPr>
          <w:b/>
          <w:i w:val="0"/>
        </w:rPr>
        <w:t>淀粉</w:t>
      </w:r>
      <w:r>
        <w:rPr>
          <w:b w:val="0"/>
          <w:i w:val="0"/>
        </w:rPr>
        <w:t>增塑成热塑性淀粉后，柔软而便宜（模量 0.02 到 1 GPa）。它对湿度敏感，储存时会缓慢再结晶（回生）[38]。所以它多半用在与 PLA 或 PBAT 的共混物里，做可堆肥袋、发泡托盘和地膜。这种行为来自链的排列方式，不来自它们的化学组成。线性的直链淀粉和支链的支链淀粉混在一起，只给出弱的、随湿度可逆的结晶度，而直链淀粉盘成一个水能进入并增塑的螺旋（图 2b）。</w:t>
      </w:r>
    </w:p>
    <w:p>
      <w:pPr>
        <w:jc w:val="both"/>
      </w:pPr>
      <w:r>
        <w:rPr>
          <w:b/>
          <w:i w:val="0"/>
        </w:rPr>
        <w:t>壳聚糖</w:t>
      </w:r>
      <w:r>
        <w:rPr>
          <w:b w:val="0"/>
          <w:i w:val="0"/>
        </w:rPr>
        <w:t>用得多的不是它的力学性质（膜的模量 1 到 4 GPa），而是它在稀酸中是一种聚阳离子。这让它有抗菌性、能结合金属离子、并能黏附黏膜，所以用于伤口敷料、抗菌涂层和水处理 [39]。脱乙酰度决定它的溶解性和电荷。在碱中提高脱乙酰度的同时也会切断主链，所以高脱乙酰度的牌号分子量低 [3]。</w:t>
      </w:r>
    </w:p>
    <w:p>
      <w:pPr>
        <w:jc w:val="both"/>
      </w:pPr>
      <w:r>
        <w:rPr>
          <w:b/>
          <w:i w:val="0"/>
        </w:rPr>
        <w:t>海藻酸盐</w:t>
      </w:r>
      <w:r>
        <w:rPr>
          <w:b w:val="0"/>
          <w:i w:val="0"/>
        </w:rPr>
        <w:t>在室温下，当 Ca²⁺ 离子以"蛋盒"式结点桥接它的古洛糖醛酸嵌段时，会形成一种柔软的凝胶 [4]（图 2c）。这种凝胶是离子性的，所以螯合剂能把它逆转。这是海藻酸盐水凝胶用于伤口敷料、细胞包封和生物打印的基础，也是它用作食品增稠剂的基础。古洛糖醛酸嵌段的比例控制刚性与脆性之间的平衡（§7）。透明质酸、卡拉胶、黄原胶和果胶遵循同样的连接化学逻辑。</w:t>
      </w:r>
    </w:p>
    <w:p>
      <w:pPr>
        <w:keepNext/>
        <w:spacing w:after="40"/>
        <w:jc w:val="center"/>
      </w:pPr>
      <w:r>
        <w:drawing>
          <wp:inline xmlns:a="http://schemas.openxmlformats.org/drawingml/2006/main" xmlns:pic="http://schemas.openxmlformats.org/drawingml/2006/picture">
            <wp:extent cx="4114800" cy="2517048"/>
            <wp:docPr id="1" name="Picture 1"/>
            <wp:cNvGraphicFramePr>
              <a:graphicFrameLocks noChangeAspect="1"/>
            </wp:cNvGraphicFramePr>
            <a:graphic>
              <a:graphicData uri="http://schemas.openxmlformats.org/drawingml/2006/picture">
                <pic:pic>
                  <pic:nvPicPr>
                    <pic:cNvPr id="0" name="fig_repeat_units_all.png"/>
                    <pic:cNvPicPr/>
                  </pic:nvPicPr>
                  <pic:blipFill>
                    <a:blip r:embed="rId10"/>
                    <a:stretch>
                      <a:fillRect/>
                    </a:stretch>
                  </pic:blipFill>
                  <pic:spPr>
                    <a:xfrm>
                      <a:off x="0" y="0"/>
                      <a:ext cx="4114800" cy="2517048"/>
                    </a:xfrm>
                    <a:prstGeom prst="rect"/>
                  </pic:spPr>
                </pic:pic>
              </a:graphicData>
            </a:graphic>
          </wp:inline>
        </w:drawing>
      </w:r>
    </w:p>
    <w:p>
      <w:pPr>
        <w:spacing w:line="240" w:lineRule="auto" w:after="80"/>
        <w:jc w:val="center"/>
      </w:pPr>
      <w:r>
        <w:rPr>
          <w:i/>
          <w:sz w:val="20"/>
        </w:rPr>
        <w:t>图 1．重复单元，作者用 RDKit 从核对过立体化学的 SMILES 绘制，按主链类别配色。多糖 (a) 到 (e)：纤维素、直链淀粉、壳聚糖、海藻酸 M、海藻酸 G；(a) 和 (b) 只在 C1 上不同， (d) 和 (e) 只在 C5 上不同。聚酯 (f) 到 (g)：PHB、PLLA，标出 (R) 和 (S)。蛋白 (h) 到 (i)：丝素 (Gly-Ala)ₙ、胶原 Gly-Pro-Hyp。木质醇前体 (j) 到 (l)：对香豆醇、松柏醇、芥子醇（0、1、2 个甲氧基）。橡胶 (m)：顺-1,4-聚异戊二烯</w:t>
      </w:r>
    </w:p>
    <w:p>
      <w:pPr>
        <w:pStyle w:val="Heading2"/>
      </w:pPr>
      <w:r>
        <w:t>3.2 聚酯：PHA 与 PLA</w:t>
      </w:r>
    </w:p>
    <w:p>
      <w:pPr>
        <w:jc w:val="both"/>
      </w:pPr>
      <w:r>
        <w:rPr>
          <w:b/>
          <w:i w:val="0"/>
        </w:rPr>
        <w:t>PHA</w:t>
      </w:r>
      <w:r>
        <w:rPr>
          <w:b w:val="0"/>
          <w:i w:val="0"/>
        </w:rPr>
        <w:t>是一种坚硬（1.5 到 4 GPa）而脆（断裂伸长率 1.5 到 8%）的热塑性塑料，可完全生物降解。 PHB 是典型代表（图 1f）。它用于硬质包装、涂层和可堆肥物品。它的加工窗口是本文中最窄的，约 20 °C。原因是 PHB 在刚超过熔点时就通过一个六元环</w:t>
      </w:r>
      <w:r>
        <w:rPr>
          <w:i/>
        </w:rPr>
        <w:t>顺</w:t>
      </w:r>
      <w:r>
        <w:rPr>
          <w:b w:val="0"/>
          <w:i w:val="0"/>
        </w:rPr>
        <w:t>-消除反应分解 [5]。PHBV 和 PHBHHx 共聚物把窗口拓宽到约 55 °C，但它们更软。</w:t>
      </w:r>
      <w:r>
        <w:rPr>
          <w:b/>
          <w:i w:val="0"/>
        </w:rPr>
        <w:t>PLA</w:t>
      </w:r>
      <w:r>
        <w:rPr>
          <w:b w:val="0"/>
          <w:i w:val="0"/>
        </w:rPr>
        <w:t>是当今使用最广的生物基塑料。它是 3D 打印的耗材，也用于食品餐具、纤维和可吸收缝合线（做成 PLGA）。它的模量为 2.5 到 4 GPa，但它约 60 °C 的低玻璃化转变温度设定了一个低的耐热上限（§6.2）。要得到有用的分子量，需要在 Sn(Oct)₂ 催化下让丙交酯开环聚合 [40,41]。PLLA 和 PDLA 的立体复合物熔点高约 50 °C，因为两个对映体堆积得更紧密 [6,7]。PHA 和 PLA 都以仍能熔融的螺旋方式堆积（图 2d）。PBS 和 PEF 遵循同样的酯键逻辑（§7）。</w:t>
      </w:r>
    </w:p>
    <w:p>
      <w:pPr>
        <w:pStyle w:val="Heading2"/>
      </w:pPr>
      <w:r>
        <w:t>3.3 蛋白质类聚合物</w:t>
      </w:r>
    </w:p>
    <w:p>
      <w:pPr>
        <w:jc w:val="both"/>
      </w:pPr>
      <w:r>
        <w:rPr>
          <w:b/>
          <w:i w:val="0"/>
        </w:rPr>
        <w:t>丝素蛋白</w:t>
      </w:r>
      <w:r>
        <w:rPr>
          <w:b w:val="0"/>
          <w:i w:val="0"/>
        </w:rPr>
        <w:t>（图 1h）同时既强又韧，这对任何聚合物都很少见。所以它用作高级缝合线和组织支架材料，也用作韧性纤维的研究模型。这份韧性来自 2 到 4 nm 大小的 β-折叠纳米晶体，它们分散在柔顺的无定形基体中（图 2e）[8]。</w:t>
      </w:r>
      <w:r>
        <w:rPr>
          <w:b/>
          <w:i w:val="0"/>
        </w:rPr>
        <w:t>胶原蛋白</w:t>
      </w:r>
      <w:r>
        <w:rPr>
          <w:b w:val="0"/>
          <w:i w:val="0"/>
        </w:rPr>
        <w:t>和它的变性形式</w:t>
      </w:r>
      <w:r>
        <w:rPr>
          <w:b/>
          <w:i w:val="0"/>
        </w:rPr>
        <w:t>明胶</w:t>
      </w:r>
      <w:r>
        <w:rPr>
          <w:b w:val="0"/>
          <w:i w:val="0"/>
        </w:rPr>
        <w:t>用作水凝胶、组织支架和包封材料。胶原蛋白有一个 Gly-X-Y 三螺旋（图 2f），由羟脯氨酸的立体电子效应稳定 [45]。加热时，这个螺旋展开成明胶，而且不会重新折叠。玉米醇溶蛋白、酪蛋白和大豆蛋白能成膜，但不是结构材料（§7）。每条蛋白质链都按核糖体模板合成，所以所有链长度一样（Đ = 1.0）。没有任何非模板合成的生物聚合物能做到这一点（§4）。</w:t>
      </w:r>
    </w:p>
    <w:p>
      <w:pPr>
        <w:keepNext/>
        <w:spacing w:after="40"/>
        <w:jc w:val="center"/>
      </w:pPr>
      <w:r>
        <w:drawing>
          <wp:inline xmlns:a="http://schemas.openxmlformats.org/drawingml/2006/main" xmlns:pic="http://schemas.openxmlformats.org/drawingml/2006/picture">
            <wp:extent cx="4114800" cy="1935954"/>
            <wp:docPr id="2" name="Picture 2"/>
            <wp:cNvGraphicFramePr>
              <a:graphicFrameLocks noChangeAspect="1"/>
            </wp:cNvGraphicFramePr>
            <a:graphic>
              <a:graphicData uri="http://schemas.openxmlformats.org/drawingml/2006/picture">
                <pic:pic>
                  <pic:nvPicPr>
                    <pic:cNvPr id="0" name="fig_higher_order_all.png"/>
                    <pic:cNvPicPr/>
                  </pic:nvPicPr>
                  <pic:blipFill>
                    <a:blip r:embed="rId11"/>
                    <a:stretch>
                      <a:fillRect/>
                    </a:stretch>
                  </pic:blipFill>
                  <pic:spPr>
                    <a:xfrm>
                      <a:off x="0" y="0"/>
                      <a:ext cx="4114800" cy="1935954"/>
                    </a:xfrm>
                    <a:prstGeom prst="rect"/>
                  </pic:spPr>
                </pic:pic>
              </a:graphicData>
            </a:graphic>
          </wp:inline>
        </w:drawing>
      </w:r>
    </w:p>
    <w:p>
      <w:pPr>
        <w:spacing w:line="240" w:lineRule="auto" w:after="80"/>
        <w:jc w:val="center"/>
      </w:pPr>
      <w:r>
        <w:rPr>
          <w:i/>
          <w:sz w:val="20"/>
        </w:rPr>
        <w:t>图 2．高阶结构，作者自绘：(a) 纤维素带状链，再到氢键片层，再到 Iα/Iβ 晶体；(b) 直链淀粉左手螺旋；(c) 海藻酸 Ca²⁺"蛋盒"式 G 嵌段结点；(d) PHA 和 PLA 的螺旋堆积（PHB 2₁、 PLLA 10₃）；(e) 丝素反平行 β-折叠纳米晶体（2 到 4 nm）分散在无定形基体中；(f) 胶原 Gly-X-Y 三螺旋，每第三位是甘氨酸。每种结构在 §3.1 到 §3.5 讨论</w:t>
      </w:r>
    </w:p>
    <w:p>
      <w:pPr>
        <w:pStyle w:val="Heading2"/>
      </w:pPr>
      <w:r>
        <w:t>3.4 木质素</w:t>
      </w:r>
    </w:p>
    <w:p>
      <w:pPr>
        <w:jc w:val="both"/>
      </w:pPr>
      <w:r>
        <w:rPr>
          <w:b/>
          <w:i w:val="0"/>
        </w:rPr>
        <w:t>木质素</w:t>
      </w:r>
      <w:r>
        <w:rPr>
          <w:b w:val="0"/>
          <w:i w:val="0"/>
        </w:rPr>
        <w:t>是陆地上第二丰富的生物聚合物，也是制浆的低成本副产物。它用作填料、碳纤维前体，以及抗氧化剂或抗紫外添加剂；用木质素替代木制品中部分酚醛树脂也是一个活跃的研究方向。木质素没有单一的结构与性质关系。三种单木质醇（图 1j-l）的自由基偶联搭出一个不规则的交联网络，没有重复的链。β-O-4 醚键约占连接方式的 45 到 60% [9]。它的组成随植物种类而变，也随提取方法而变，提取方法可以是硫酸盐法、有机溶剂法或木质素磺酸盐法 [54]。</w:t>
      </w:r>
    </w:p>
    <w:p>
      <w:pPr>
        <w:pStyle w:val="Heading2"/>
      </w:pPr>
      <w:r>
        <w:t>3.5 天然橡胶</w:t>
      </w:r>
    </w:p>
    <w:p>
      <w:pPr>
        <w:jc w:val="both"/>
      </w:pPr>
      <w:r>
        <w:rPr>
          <w:b/>
          <w:i w:val="0"/>
        </w:rPr>
        <w:t>天然橡胶</w:t>
      </w:r>
      <w:r>
        <w:rPr>
          <w:b w:val="0"/>
          <w:i w:val="0"/>
        </w:rPr>
        <w:t>静置时几乎没有模量（0.001 到 0.005 GPa）。受力时它有出色的抗撕裂和抗疲劳性能。所以尽管有合成竞争品，它仍用于轮胎、发动机悬置、手套和粘合剂。它的刚性是按需产生的。放松的</w:t>
      </w:r>
      <w:r>
        <w:rPr>
          <w:i/>
        </w:rPr>
        <w:t>顺</w:t>
      </w:r>
      <w:r>
        <w:rPr>
          <w:b w:val="0"/>
          <w:i w:val="0"/>
        </w:rPr>
        <w:t>-1,4-聚异戊二烯是无定形的，但被拉伸时会结晶，晶体又反过来增强网络。这种应变诱导结晶（SIC）已被 X 射线衍射充分记录，在合成</w:t>
      </w:r>
      <w:r>
        <w:rPr>
          <w:i/>
        </w:rPr>
        <w:t>顺</w:t>
      </w:r>
      <w:r>
        <w:rPr>
          <w:b w:val="0"/>
          <w:i w:val="0"/>
        </w:rPr>
        <w:t>-聚异戊二烯中基本不存在 [10]。它不是一个固定不变的常数。分子量及其分布在不同的</w:t>
      </w:r>
      <w:r>
        <w:rPr>
          <w:i/>
        </w:rPr>
        <w:t>橡胶树</w:t>
      </w:r>
      <w:r>
        <w:rPr>
          <w:b w:val="0"/>
          <w:i w:val="0"/>
        </w:rPr>
        <w:t>无性系之间、以及随树龄都不一样 [19]，而非橡胶的蛋白质和凝胶含量在网络中起的是主动的、依无性系而定的作用，不是杂质 [18]。天然橡胶在 §6.3 中直接与一个合成类似物对比。</w:t>
      </w:r>
    </w:p>
    <w:p>
      <w:pPr>
        <w:spacing w:line="240" w:lineRule="auto" w:after="40"/>
      </w:pPr>
      <w:r>
        <w:rPr>
          <w:b/>
          <w:i w:val="0"/>
          <w:sz w:val="20"/>
        </w:rPr>
        <w:t>表 2.</w:t>
      </w:r>
      <w:r>
        <w:rPr>
          <w:b w:val="0"/>
          <w:i w:val="0"/>
          <w:sz w:val="20"/>
        </w:rPr>
        <w:t xml:space="preserve"> §3 讨论的生物聚合物热学与力学性质（数量级范围；Tg/Tm 与拉伸数据已与 de Beukelaer 等人 [11] 逐行核对，PBS 对 Aliotta 等人 [12]，PLA 对 [42,43]，分解起始温度对 [5,44]；Td 为 N₂ 下 TGA 失重起始温度；"–" 表示无熔融转变；逐行来源见 </w:t>
      </w:r>
      <w:r>
        <w:rPr>
          <w:rFonts w:ascii="Consolas" w:hAnsi="Consolas"/>
          <w:i/>
          <w:sz w:val="20"/>
        </w:rPr>
        <w:t>figures/data/*.csv</w:t>
      </w:r>
      <w:r>
        <w:rPr>
          <w:b w:val="0"/>
          <w:i w:val="0"/>
          <w:sz w:val="20"/>
        </w:rPr>
        <w:t>）。</w:t>
      </w:r>
    </w:p>
    <w:tbl>
      <w:tblPr>
        <w:tblW w:type="auto" w:w="0"/>
        <w:jc w:val="center"/>
        <w:tblLayout w:type="fixed"/>
        <w:tblLook w:firstColumn="1" w:firstRow="1" w:lastColumn="0" w:lastRow="0" w:noHBand="0" w:noVBand="1" w:val="04A0"/>
        <w:tblLayout w:type="fixed"/>
      </w:tblPr>
      <w:tblGrid>
        <w:gridCol w:w="1997"/>
        <w:gridCol w:w="1178"/>
        <w:gridCol w:w="1178"/>
        <w:gridCol w:w="1282"/>
        <w:gridCol w:w="1901"/>
        <w:gridCol w:w="1388"/>
      </w:tblGrid>
      <w:tr>
        <w:tc>
          <w:tcPr>
            <w:tcW w:type="dxa" w:w="1998"/>
            <w:tcBorders>
              <w:top w:val="single" w:sz="8" w:space="0" w:color="000000"/>
              <w:bottom w:val="single" w:sz="8" w:space="0" w:color="000000"/>
            </w:tcBorders>
          </w:tcPr>
          <w:p>
            <w:pPr>
              <w:spacing w:after="10" w:before="10" w:line="240" w:lineRule="auto"/>
            </w:pPr>
            <w:r>
              <w:rPr>
                <w:rFonts w:ascii="Arial" w:hAnsi="Arial"/>
                <w:b/>
                <w:i w:val="0"/>
                <w:sz w:val="16"/>
              </w:rPr>
              <w:t>材料</w:t>
            </w:r>
          </w:p>
        </w:tc>
        <w:tc>
          <w:tcPr>
            <w:tcW w:type="dxa" w:w="1179"/>
            <w:tcBorders>
              <w:top w:val="single" w:sz="8" w:space="0" w:color="000000"/>
              <w:bottom w:val="single" w:sz="8" w:space="0" w:color="000000"/>
            </w:tcBorders>
          </w:tcPr>
          <w:p>
            <w:pPr>
              <w:spacing w:after="10" w:before="10" w:line="240" w:lineRule="auto"/>
            </w:pPr>
            <w:r>
              <w:rPr>
                <w:rFonts w:ascii="Arial" w:hAnsi="Arial"/>
                <w:b/>
                <w:i w:val="0"/>
                <w:sz w:val="16"/>
              </w:rPr>
              <w:t>Tg (°C)</w:t>
            </w:r>
          </w:p>
        </w:tc>
        <w:tc>
          <w:tcPr>
            <w:tcW w:type="dxa" w:w="1179"/>
            <w:tcBorders>
              <w:top w:val="single" w:sz="8" w:space="0" w:color="000000"/>
              <w:bottom w:val="single" w:sz="8" w:space="0" w:color="000000"/>
            </w:tcBorders>
          </w:tcPr>
          <w:p>
            <w:pPr>
              <w:spacing w:after="10" w:before="10" w:line="240" w:lineRule="auto"/>
            </w:pPr>
            <w:r>
              <w:rPr>
                <w:rFonts w:ascii="Arial" w:hAnsi="Arial"/>
                <w:b/>
                <w:i w:val="0"/>
                <w:sz w:val="16"/>
              </w:rPr>
              <w:t>Tm (°C)</w:t>
            </w:r>
          </w:p>
        </w:tc>
        <w:tc>
          <w:tcPr>
            <w:tcW w:type="dxa" w:w="1283"/>
            <w:tcBorders>
              <w:top w:val="single" w:sz="8" w:space="0" w:color="000000"/>
              <w:bottom w:val="single" w:sz="8" w:space="0" w:color="000000"/>
            </w:tcBorders>
          </w:tcPr>
          <w:p>
            <w:pPr>
              <w:spacing w:after="10" w:before="10" w:line="240" w:lineRule="auto"/>
            </w:pPr>
            <w:r>
              <w:rPr>
                <w:rFonts w:ascii="Arial" w:hAnsi="Arial"/>
                <w:b/>
                <w:i w:val="0"/>
                <w:sz w:val="16"/>
              </w:rPr>
              <w:t>Td 起始 (°C)</w:t>
            </w:r>
          </w:p>
        </w:tc>
        <w:tc>
          <w:tcPr>
            <w:tcW w:type="dxa" w:w="1901"/>
            <w:tcBorders>
              <w:top w:val="single" w:sz="8" w:space="0" w:color="000000"/>
              <w:bottom w:val="single" w:sz="8" w:space="0" w:color="000000"/>
            </w:tcBorders>
          </w:tcPr>
          <w:p>
            <w:pPr>
              <w:spacing w:after="10" w:before="10" w:line="240" w:lineRule="auto"/>
            </w:pPr>
            <w:r>
              <w:rPr>
                <w:rFonts w:ascii="Arial" w:hAnsi="Arial"/>
                <w:b/>
                <w:i w:val="0"/>
                <w:sz w:val="16"/>
              </w:rPr>
              <w:t>模量 (GPa)</w:t>
            </w:r>
          </w:p>
        </w:tc>
        <w:tc>
          <w:tcPr>
            <w:tcW w:type="dxa" w:w="1388"/>
            <w:tcBorders>
              <w:top w:val="single" w:sz="8" w:space="0" w:color="000000"/>
              <w:bottom w:val="single" w:sz="8" w:space="0" w:color="000000"/>
            </w:tcBorders>
          </w:tcPr>
          <w:p>
            <w:pPr>
              <w:spacing w:after="10" w:before="10" w:line="240" w:lineRule="auto"/>
            </w:pPr>
            <w:r>
              <w:rPr>
                <w:rFonts w:ascii="Arial" w:hAnsi="Arial"/>
                <w:b/>
                <w:i w:val="0"/>
                <w:sz w:val="16"/>
              </w:rPr>
              <w:t>断裂伸长率 (%)</w:t>
            </w:r>
          </w:p>
        </w:tc>
      </w:tr>
      <w:tr>
        <w:tc>
          <w:tcPr>
            <w:tcW w:type="dxa" w:w="1998"/>
            <w:tcBorders>
              <w:top w:val="nil"/>
              <w:bottom w:val="nil"/>
            </w:tcBorders>
          </w:tcPr>
          <w:p>
            <w:pPr>
              <w:spacing w:after="10" w:before="10" w:line="240" w:lineRule="auto"/>
            </w:pPr>
            <w:r>
              <w:rPr>
                <w:rFonts w:ascii="Arial" w:hAnsi="Arial"/>
                <w:b w:val="0"/>
                <w:i w:val="0"/>
                <w:sz w:val="16"/>
              </w:rPr>
              <w:t>纤维素（再生纤维）</w:t>
            </w:r>
          </w:p>
        </w:tc>
        <w:tc>
          <w:tcPr>
            <w:tcW w:type="dxa" w:w="1179"/>
            <w:tcBorders>
              <w:top w:val="nil"/>
              <w:bottom w:val="nil"/>
            </w:tcBorders>
          </w:tcPr>
          <w:p>
            <w:pPr>
              <w:spacing w:after="10" w:before="10" w:line="240" w:lineRule="auto"/>
            </w:pPr>
            <w:r>
              <w:rPr>
                <w:rFonts w:ascii="Arial" w:hAnsi="Arial"/>
                <w:b w:val="0"/>
                <w:i w:val="0"/>
                <w:sz w:val="16"/>
              </w:rPr>
              <w:t>–</w:t>
            </w:r>
          </w:p>
        </w:tc>
        <w:tc>
          <w:tcPr>
            <w:tcW w:type="dxa" w:w="1179"/>
            <w:tcBorders>
              <w:top w:val="nil"/>
              <w:bottom w:val="nil"/>
            </w:tcBorders>
          </w:tcPr>
          <w:p>
            <w:pPr>
              <w:spacing w:after="10" w:before="10" w:line="240" w:lineRule="auto"/>
            </w:pPr>
            <w:r>
              <w:rPr>
                <w:rFonts w:ascii="Arial" w:hAnsi="Arial"/>
                <w:b w:val="0"/>
                <w:i w:val="0"/>
                <w:sz w:val="16"/>
              </w:rPr>
              <w:t>–</w:t>
            </w:r>
          </w:p>
        </w:tc>
        <w:tc>
          <w:tcPr>
            <w:tcW w:type="dxa" w:w="1283"/>
            <w:tcBorders>
              <w:top w:val="nil"/>
              <w:bottom w:val="nil"/>
            </w:tcBorders>
          </w:tcPr>
          <w:p>
            <w:pPr>
              <w:spacing w:after="10" w:before="10" w:line="240" w:lineRule="auto"/>
            </w:pPr>
            <w:r>
              <w:rPr>
                <w:rFonts w:ascii="Arial" w:hAnsi="Arial"/>
                <w:b w:val="0"/>
                <w:i w:val="0"/>
                <w:sz w:val="16"/>
              </w:rPr>
              <w:t>~300</w:t>
            </w:r>
          </w:p>
        </w:tc>
        <w:tc>
          <w:tcPr>
            <w:tcW w:type="dxa" w:w="1901"/>
            <w:tcBorders>
              <w:top w:val="nil"/>
              <w:bottom w:val="nil"/>
            </w:tcBorders>
          </w:tcPr>
          <w:p>
            <w:pPr>
              <w:spacing w:after="10" w:before="10" w:line="240" w:lineRule="auto"/>
            </w:pPr>
            <w:r>
              <w:rPr>
                <w:rFonts w:ascii="Arial" w:hAnsi="Arial"/>
                <w:b w:val="0"/>
                <w:i w:val="0"/>
                <w:sz w:val="16"/>
              </w:rPr>
              <w:t>10–30</w:t>
            </w:r>
          </w:p>
        </w:tc>
        <w:tc>
          <w:tcPr>
            <w:tcW w:type="dxa" w:w="1388"/>
            <w:tcBorders>
              <w:top w:val="nil"/>
              <w:bottom w:val="nil"/>
            </w:tcBorders>
          </w:tcPr>
          <w:p>
            <w:pPr>
              <w:spacing w:after="10" w:before="10" w:line="240" w:lineRule="auto"/>
            </w:pPr>
            <w:r>
              <w:rPr>
                <w:rFonts w:ascii="Arial" w:hAnsi="Arial"/>
                <w:b w:val="0"/>
                <w:i w:val="0"/>
                <w:sz w:val="16"/>
              </w:rPr>
              <w:t>8–15</w:t>
            </w:r>
          </w:p>
        </w:tc>
      </w:tr>
      <w:tr>
        <w:tc>
          <w:tcPr>
            <w:tcW w:type="dxa" w:w="1998"/>
            <w:tcBorders>
              <w:top w:val="nil"/>
              <w:bottom w:val="nil"/>
            </w:tcBorders>
          </w:tcPr>
          <w:p>
            <w:pPr>
              <w:spacing w:after="10" w:before="10" w:line="240" w:lineRule="auto"/>
            </w:pPr>
            <w:r>
              <w:rPr>
                <w:rFonts w:ascii="Arial" w:hAnsi="Arial"/>
                <w:b w:val="0"/>
                <w:i w:val="0"/>
                <w:sz w:val="16"/>
              </w:rPr>
              <w:t>热塑性淀粉</w:t>
            </w:r>
          </w:p>
        </w:tc>
        <w:tc>
          <w:tcPr>
            <w:tcW w:type="dxa" w:w="1179"/>
            <w:tcBorders>
              <w:top w:val="nil"/>
              <w:bottom w:val="nil"/>
            </w:tcBorders>
          </w:tcPr>
          <w:p>
            <w:pPr>
              <w:spacing w:after="10" w:before="10" w:line="240" w:lineRule="auto"/>
            </w:pPr>
            <w:r>
              <w:rPr>
                <w:rFonts w:ascii="Arial" w:hAnsi="Arial"/>
                <w:b w:val="0"/>
                <w:i w:val="0"/>
                <w:sz w:val="16"/>
              </w:rPr>
              <w:t>~−20</w:t>
            </w:r>
          </w:p>
        </w:tc>
        <w:tc>
          <w:tcPr>
            <w:tcW w:type="dxa" w:w="1179"/>
            <w:tcBorders>
              <w:top w:val="nil"/>
              <w:bottom w:val="nil"/>
            </w:tcBorders>
          </w:tcPr>
          <w:p>
            <w:pPr>
              <w:spacing w:after="10" w:before="10" w:line="240" w:lineRule="auto"/>
            </w:pPr>
            <w:r>
              <w:rPr>
                <w:rFonts w:ascii="Arial" w:hAnsi="Arial"/>
                <w:b w:val="0"/>
                <w:i w:val="0"/>
                <w:sz w:val="16"/>
              </w:rPr>
              <w:t>–</w:t>
            </w:r>
          </w:p>
        </w:tc>
        <w:tc>
          <w:tcPr>
            <w:tcW w:type="dxa" w:w="1283"/>
            <w:tcBorders>
              <w:top w:val="nil"/>
              <w:bottom w:val="nil"/>
            </w:tcBorders>
          </w:tcPr>
          <w:p>
            <w:pPr>
              <w:spacing w:after="10" w:before="10" w:line="240" w:lineRule="auto"/>
            </w:pPr>
            <w:r>
              <w:rPr>
                <w:rFonts w:ascii="Arial" w:hAnsi="Arial"/>
                <w:b w:val="0"/>
                <w:i w:val="0"/>
                <w:sz w:val="16"/>
              </w:rPr>
              <w:t>~300</w:t>
            </w:r>
          </w:p>
        </w:tc>
        <w:tc>
          <w:tcPr>
            <w:tcW w:type="dxa" w:w="1901"/>
            <w:tcBorders>
              <w:top w:val="nil"/>
              <w:bottom w:val="nil"/>
            </w:tcBorders>
          </w:tcPr>
          <w:p>
            <w:pPr>
              <w:spacing w:after="10" w:before="10" w:line="240" w:lineRule="auto"/>
            </w:pPr>
            <w:r>
              <w:rPr>
                <w:rFonts w:ascii="Arial" w:hAnsi="Arial"/>
                <w:b w:val="0"/>
                <w:i w:val="0"/>
                <w:sz w:val="16"/>
              </w:rPr>
              <w:t>0.02–1.0</w:t>
            </w:r>
          </w:p>
        </w:tc>
        <w:tc>
          <w:tcPr>
            <w:tcW w:type="dxa" w:w="1388"/>
            <w:tcBorders>
              <w:top w:val="nil"/>
              <w:bottom w:val="nil"/>
            </w:tcBorders>
          </w:tcPr>
          <w:p>
            <w:pPr>
              <w:spacing w:after="10" w:before="10" w:line="240" w:lineRule="auto"/>
            </w:pPr>
            <w:r>
              <w:rPr>
                <w:rFonts w:ascii="Arial" w:hAnsi="Arial"/>
                <w:b w:val="0"/>
                <w:i w:val="0"/>
                <w:sz w:val="16"/>
              </w:rPr>
              <w:t>20–100</w:t>
            </w:r>
          </w:p>
        </w:tc>
      </w:tr>
      <w:tr>
        <w:tc>
          <w:tcPr>
            <w:tcW w:type="dxa" w:w="1998"/>
            <w:tcBorders>
              <w:top w:val="nil"/>
              <w:bottom w:val="nil"/>
            </w:tcBorders>
          </w:tcPr>
          <w:p>
            <w:pPr>
              <w:spacing w:after="10" w:before="10" w:line="240" w:lineRule="auto"/>
            </w:pPr>
            <w:r>
              <w:rPr>
                <w:rFonts w:ascii="Arial" w:hAnsi="Arial"/>
                <w:b w:val="0"/>
                <w:i w:val="0"/>
                <w:sz w:val="16"/>
              </w:rPr>
              <w:t>壳聚糖（膜）</w:t>
            </w:r>
          </w:p>
        </w:tc>
        <w:tc>
          <w:tcPr>
            <w:tcW w:type="dxa" w:w="1179"/>
            <w:tcBorders>
              <w:top w:val="nil"/>
              <w:bottom w:val="nil"/>
            </w:tcBorders>
          </w:tcPr>
          <w:p>
            <w:pPr>
              <w:spacing w:after="10" w:before="10" w:line="240" w:lineRule="auto"/>
            </w:pPr>
            <w:r>
              <w:rPr>
                <w:rFonts w:ascii="Arial" w:hAnsi="Arial"/>
                <w:b w:val="0"/>
                <w:i w:val="0"/>
                <w:sz w:val="16"/>
              </w:rPr>
              <w:t>–</w:t>
            </w:r>
          </w:p>
        </w:tc>
        <w:tc>
          <w:tcPr>
            <w:tcW w:type="dxa" w:w="1179"/>
            <w:tcBorders>
              <w:top w:val="nil"/>
              <w:bottom w:val="nil"/>
            </w:tcBorders>
          </w:tcPr>
          <w:p>
            <w:pPr>
              <w:spacing w:after="10" w:before="10" w:line="240" w:lineRule="auto"/>
            </w:pPr>
            <w:r>
              <w:rPr>
                <w:rFonts w:ascii="Arial" w:hAnsi="Arial"/>
                <w:b w:val="0"/>
                <w:i w:val="0"/>
                <w:sz w:val="16"/>
              </w:rPr>
              <w:t>–</w:t>
            </w:r>
          </w:p>
        </w:tc>
        <w:tc>
          <w:tcPr>
            <w:tcW w:type="dxa" w:w="1283"/>
            <w:tcBorders>
              <w:top w:val="nil"/>
              <w:bottom w:val="nil"/>
            </w:tcBorders>
          </w:tcPr>
          <w:p>
            <w:pPr>
              <w:spacing w:after="10" w:before="10" w:line="240" w:lineRule="auto"/>
            </w:pPr>
            <w:r>
              <w:rPr>
                <w:rFonts w:ascii="Arial" w:hAnsi="Arial"/>
                <w:b w:val="0"/>
                <w:i w:val="0"/>
                <w:sz w:val="16"/>
              </w:rPr>
              <w:t>~280</w:t>
            </w:r>
          </w:p>
        </w:tc>
        <w:tc>
          <w:tcPr>
            <w:tcW w:type="dxa" w:w="1901"/>
            <w:tcBorders>
              <w:top w:val="nil"/>
              <w:bottom w:val="nil"/>
            </w:tcBorders>
          </w:tcPr>
          <w:p>
            <w:pPr>
              <w:spacing w:after="10" w:before="10" w:line="240" w:lineRule="auto"/>
            </w:pPr>
            <w:r>
              <w:rPr>
                <w:rFonts w:ascii="Arial" w:hAnsi="Arial"/>
                <w:b w:val="0"/>
                <w:i w:val="0"/>
                <w:sz w:val="16"/>
              </w:rPr>
              <w:t>1.0–4.0</w:t>
            </w:r>
          </w:p>
        </w:tc>
        <w:tc>
          <w:tcPr>
            <w:tcW w:type="dxa" w:w="1388"/>
            <w:tcBorders>
              <w:top w:val="nil"/>
              <w:bottom w:val="nil"/>
            </w:tcBorders>
          </w:tcPr>
          <w:p>
            <w:pPr>
              <w:spacing w:after="10" w:before="10" w:line="240" w:lineRule="auto"/>
            </w:pPr>
            <w:r>
              <w:rPr>
                <w:rFonts w:ascii="Arial" w:hAnsi="Arial"/>
                <w:b w:val="0"/>
                <w:i w:val="0"/>
                <w:sz w:val="16"/>
              </w:rPr>
              <w:t>3–30</w:t>
            </w:r>
          </w:p>
        </w:tc>
      </w:tr>
      <w:tr>
        <w:tc>
          <w:tcPr>
            <w:tcW w:type="dxa" w:w="1998"/>
            <w:tcBorders>
              <w:top w:val="nil"/>
              <w:bottom w:val="nil"/>
            </w:tcBorders>
          </w:tcPr>
          <w:p>
            <w:pPr>
              <w:spacing w:after="10" w:before="10" w:line="240" w:lineRule="auto"/>
            </w:pPr>
            <w:r>
              <w:rPr>
                <w:rFonts w:ascii="Arial" w:hAnsi="Arial"/>
                <w:b w:val="0"/>
                <w:i w:val="0"/>
                <w:sz w:val="16"/>
              </w:rPr>
              <w:t>丝素蛋白（纤维）</w:t>
            </w:r>
          </w:p>
        </w:tc>
        <w:tc>
          <w:tcPr>
            <w:tcW w:type="dxa" w:w="1179"/>
            <w:tcBorders>
              <w:top w:val="nil"/>
              <w:bottom w:val="nil"/>
            </w:tcBorders>
          </w:tcPr>
          <w:p>
            <w:pPr>
              <w:spacing w:after="10" w:before="10" w:line="240" w:lineRule="auto"/>
            </w:pPr>
            <w:r>
              <w:rPr>
                <w:rFonts w:ascii="Arial" w:hAnsi="Arial"/>
                <w:b w:val="0"/>
                <w:i w:val="0"/>
                <w:sz w:val="16"/>
              </w:rPr>
              <w:t>~175</w:t>
            </w:r>
          </w:p>
        </w:tc>
        <w:tc>
          <w:tcPr>
            <w:tcW w:type="dxa" w:w="1179"/>
            <w:tcBorders>
              <w:top w:val="nil"/>
              <w:bottom w:val="nil"/>
            </w:tcBorders>
          </w:tcPr>
          <w:p>
            <w:pPr>
              <w:spacing w:after="10" w:before="10" w:line="240" w:lineRule="auto"/>
            </w:pPr>
            <w:r>
              <w:rPr>
                <w:rFonts w:ascii="Arial" w:hAnsi="Arial"/>
                <w:b w:val="0"/>
                <w:i w:val="0"/>
                <w:sz w:val="16"/>
              </w:rPr>
              <w:t>–</w:t>
            </w:r>
          </w:p>
        </w:tc>
        <w:tc>
          <w:tcPr>
            <w:tcW w:type="dxa" w:w="1283"/>
            <w:tcBorders>
              <w:top w:val="nil"/>
              <w:bottom w:val="nil"/>
            </w:tcBorders>
          </w:tcPr>
          <w:p>
            <w:pPr>
              <w:spacing w:after="10" w:before="10" w:line="240" w:lineRule="auto"/>
            </w:pPr>
            <w:r>
              <w:rPr>
                <w:rFonts w:ascii="Arial" w:hAnsi="Arial"/>
                <w:b w:val="0"/>
                <w:i w:val="0"/>
                <w:sz w:val="16"/>
              </w:rPr>
              <w:t>~300</w:t>
            </w:r>
          </w:p>
        </w:tc>
        <w:tc>
          <w:tcPr>
            <w:tcW w:type="dxa" w:w="1901"/>
            <w:tcBorders>
              <w:top w:val="nil"/>
              <w:bottom w:val="nil"/>
            </w:tcBorders>
          </w:tcPr>
          <w:p>
            <w:pPr>
              <w:spacing w:after="10" w:before="10" w:line="240" w:lineRule="auto"/>
            </w:pPr>
            <w:r>
              <w:rPr>
                <w:rFonts w:ascii="Arial" w:hAnsi="Arial"/>
                <w:b w:val="0"/>
                <w:i w:val="0"/>
                <w:sz w:val="16"/>
              </w:rPr>
              <w:t>5–17</w:t>
            </w:r>
          </w:p>
        </w:tc>
        <w:tc>
          <w:tcPr>
            <w:tcW w:type="dxa" w:w="1388"/>
            <w:tcBorders>
              <w:top w:val="nil"/>
              <w:bottom w:val="nil"/>
            </w:tcBorders>
          </w:tcPr>
          <w:p>
            <w:pPr>
              <w:spacing w:after="10" w:before="10" w:line="240" w:lineRule="auto"/>
            </w:pPr>
            <w:r>
              <w:rPr>
                <w:rFonts w:ascii="Arial" w:hAnsi="Arial"/>
                <w:b w:val="0"/>
                <w:i w:val="0"/>
                <w:sz w:val="16"/>
              </w:rPr>
              <w:t>15–30</w:t>
            </w:r>
          </w:p>
        </w:tc>
      </w:tr>
      <w:tr>
        <w:tc>
          <w:tcPr>
            <w:tcW w:type="dxa" w:w="1998"/>
            <w:tcBorders>
              <w:top w:val="nil"/>
              <w:bottom w:val="nil"/>
            </w:tcBorders>
          </w:tcPr>
          <w:p>
            <w:pPr>
              <w:spacing w:after="10" w:before="10" w:line="240" w:lineRule="auto"/>
            </w:pPr>
            <w:r>
              <w:rPr>
                <w:rFonts w:ascii="Arial" w:hAnsi="Arial"/>
                <w:b w:val="0"/>
                <w:i w:val="0"/>
                <w:sz w:val="16"/>
              </w:rPr>
              <w:t>PHB（HV/HHx 共聚物熔点更低）</w:t>
            </w:r>
          </w:p>
        </w:tc>
        <w:tc>
          <w:tcPr>
            <w:tcW w:type="dxa" w:w="1179"/>
            <w:tcBorders>
              <w:top w:val="nil"/>
              <w:bottom w:val="nil"/>
            </w:tcBorders>
          </w:tcPr>
          <w:p>
            <w:pPr>
              <w:spacing w:after="10" w:before="10" w:line="240" w:lineRule="auto"/>
            </w:pPr>
            <w:r>
              <w:rPr>
                <w:rFonts w:ascii="Arial" w:hAnsi="Arial"/>
                <w:b w:val="0"/>
                <w:i w:val="0"/>
                <w:sz w:val="16"/>
              </w:rPr>
              <w:t>~5</w:t>
            </w:r>
          </w:p>
        </w:tc>
        <w:tc>
          <w:tcPr>
            <w:tcW w:type="dxa" w:w="1179"/>
            <w:tcBorders>
              <w:top w:val="nil"/>
              <w:bottom w:val="nil"/>
            </w:tcBorders>
          </w:tcPr>
          <w:p>
            <w:pPr>
              <w:spacing w:after="10" w:before="10" w:line="240" w:lineRule="auto"/>
            </w:pPr>
            <w:r>
              <w:rPr>
                <w:rFonts w:ascii="Arial" w:hAnsi="Arial"/>
                <w:b w:val="0"/>
                <w:i w:val="0"/>
                <w:sz w:val="16"/>
              </w:rPr>
              <w:t>~180</w:t>
            </w:r>
          </w:p>
        </w:tc>
        <w:tc>
          <w:tcPr>
            <w:tcW w:type="dxa" w:w="1283"/>
            <w:tcBorders>
              <w:top w:val="nil"/>
              <w:bottom w:val="nil"/>
            </w:tcBorders>
          </w:tcPr>
          <w:p>
            <w:pPr>
              <w:spacing w:after="10" w:before="10" w:line="240" w:lineRule="auto"/>
            </w:pPr>
            <w:r>
              <w:rPr>
                <w:rFonts w:ascii="Arial" w:hAnsi="Arial"/>
                <w:b w:val="0"/>
                <w:i w:val="0"/>
                <w:sz w:val="16"/>
              </w:rPr>
              <w:t>~200</w:t>
            </w:r>
          </w:p>
        </w:tc>
        <w:tc>
          <w:tcPr>
            <w:tcW w:type="dxa" w:w="1901"/>
            <w:tcBorders>
              <w:top w:val="nil"/>
              <w:bottom w:val="nil"/>
            </w:tcBorders>
          </w:tcPr>
          <w:p>
            <w:pPr>
              <w:spacing w:after="10" w:before="10" w:line="240" w:lineRule="auto"/>
            </w:pPr>
            <w:r>
              <w:rPr>
                <w:rFonts w:ascii="Arial" w:hAnsi="Arial"/>
                <w:b w:val="0"/>
                <w:i w:val="0"/>
                <w:sz w:val="16"/>
              </w:rPr>
              <w:t>1.5–4.0</w:t>
            </w:r>
          </w:p>
        </w:tc>
        <w:tc>
          <w:tcPr>
            <w:tcW w:type="dxa" w:w="1388"/>
            <w:tcBorders>
              <w:top w:val="nil"/>
              <w:bottom w:val="nil"/>
            </w:tcBorders>
          </w:tcPr>
          <w:p>
            <w:pPr>
              <w:spacing w:after="10" w:before="10" w:line="240" w:lineRule="auto"/>
            </w:pPr>
            <w:r>
              <w:rPr>
                <w:rFonts w:ascii="Arial" w:hAnsi="Arial"/>
                <w:b w:val="0"/>
                <w:i w:val="0"/>
                <w:sz w:val="16"/>
              </w:rPr>
              <w:t>1.5–8</w:t>
            </w:r>
          </w:p>
        </w:tc>
      </w:tr>
      <w:tr>
        <w:tc>
          <w:tcPr>
            <w:tcW w:type="dxa" w:w="1998"/>
            <w:tcBorders>
              <w:top w:val="nil"/>
              <w:bottom w:val="nil"/>
            </w:tcBorders>
          </w:tcPr>
          <w:p>
            <w:pPr>
              <w:spacing w:after="10" w:before="10" w:line="240" w:lineRule="auto"/>
            </w:pPr>
            <w:r>
              <w:rPr>
                <w:rFonts w:ascii="Arial" w:hAnsi="Arial"/>
                <w:b w:val="0"/>
                <w:i w:val="0"/>
                <w:sz w:val="16"/>
              </w:rPr>
              <w:t>PLLA</w:t>
            </w:r>
          </w:p>
        </w:tc>
        <w:tc>
          <w:tcPr>
            <w:tcW w:type="dxa" w:w="1179"/>
            <w:tcBorders>
              <w:top w:val="nil"/>
              <w:bottom w:val="nil"/>
            </w:tcBorders>
          </w:tcPr>
          <w:p>
            <w:pPr>
              <w:spacing w:after="10" w:before="10" w:line="240" w:lineRule="auto"/>
            </w:pPr>
            <w:r>
              <w:rPr>
                <w:rFonts w:ascii="Arial" w:hAnsi="Arial"/>
                <w:b w:val="0"/>
                <w:i w:val="0"/>
                <w:sz w:val="16"/>
              </w:rPr>
              <w:t>~60</w:t>
            </w:r>
          </w:p>
        </w:tc>
        <w:tc>
          <w:tcPr>
            <w:tcW w:type="dxa" w:w="1179"/>
            <w:tcBorders>
              <w:top w:val="nil"/>
              <w:bottom w:val="nil"/>
            </w:tcBorders>
          </w:tcPr>
          <w:p>
            <w:pPr>
              <w:spacing w:after="10" w:before="10" w:line="240" w:lineRule="auto"/>
            </w:pPr>
            <w:r>
              <w:rPr>
                <w:rFonts w:ascii="Arial" w:hAnsi="Arial"/>
                <w:b w:val="0"/>
                <w:i w:val="0"/>
                <w:sz w:val="16"/>
              </w:rPr>
              <w:t>~175</w:t>
            </w:r>
          </w:p>
        </w:tc>
        <w:tc>
          <w:tcPr>
            <w:tcW w:type="dxa" w:w="1283"/>
            <w:tcBorders>
              <w:top w:val="nil"/>
              <w:bottom w:val="nil"/>
            </w:tcBorders>
          </w:tcPr>
          <w:p>
            <w:pPr>
              <w:spacing w:after="10" w:before="10" w:line="240" w:lineRule="auto"/>
            </w:pPr>
            <w:r>
              <w:rPr>
                <w:rFonts w:ascii="Arial" w:hAnsi="Arial"/>
                <w:b w:val="0"/>
                <w:i w:val="0"/>
                <w:sz w:val="16"/>
              </w:rPr>
              <w:t>~300</w:t>
            </w:r>
          </w:p>
        </w:tc>
        <w:tc>
          <w:tcPr>
            <w:tcW w:type="dxa" w:w="1901"/>
            <w:tcBorders>
              <w:top w:val="nil"/>
              <w:bottom w:val="nil"/>
            </w:tcBorders>
          </w:tcPr>
          <w:p>
            <w:pPr>
              <w:spacing w:after="10" w:before="10" w:line="240" w:lineRule="auto"/>
            </w:pPr>
            <w:r>
              <w:rPr>
                <w:rFonts w:ascii="Arial" w:hAnsi="Arial"/>
                <w:b w:val="0"/>
                <w:i w:val="0"/>
                <w:sz w:val="16"/>
              </w:rPr>
              <w:t>2.5–4.0</w:t>
            </w:r>
          </w:p>
        </w:tc>
        <w:tc>
          <w:tcPr>
            <w:tcW w:type="dxa" w:w="1388"/>
            <w:tcBorders>
              <w:top w:val="nil"/>
              <w:bottom w:val="nil"/>
            </w:tcBorders>
          </w:tcPr>
          <w:p>
            <w:pPr>
              <w:spacing w:after="10" w:before="10" w:line="240" w:lineRule="auto"/>
            </w:pPr>
            <w:r>
              <w:rPr>
                <w:rFonts w:ascii="Arial" w:hAnsi="Arial"/>
                <w:b w:val="0"/>
                <w:i w:val="0"/>
                <w:sz w:val="16"/>
              </w:rPr>
              <w:t>3–10</w:t>
            </w:r>
          </w:p>
        </w:tc>
      </w:tr>
      <w:tr>
        <w:tc>
          <w:tcPr>
            <w:tcW w:type="dxa" w:w="1998"/>
            <w:tcBorders>
              <w:top w:val="nil"/>
              <w:bottom w:val="nil"/>
            </w:tcBorders>
          </w:tcPr>
          <w:p>
            <w:pPr>
              <w:spacing w:after="10" w:before="10" w:line="240" w:lineRule="auto"/>
            </w:pPr>
            <w:r>
              <w:rPr>
                <w:rFonts w:ascii="Arial" w:hAnsi="Arial"/>
                <w:b w:val="0"/>
                <w:i w:val="0"/>
                <w:sz w:val="16"/>
              </w:rPr>
              <w:t>PBS</w:t>
            </w:r>
          </w:p>
        </w:tc>
        <w:tc>
          <w:tcPr>
            <w:tcW w:type="dxa" w:w="1179"/>
            <w:tcBorders>
              <w:top w:val="nil"/>
              <w:bottom w:val="nil"/>
            </w:tcBorders>
          </w:tcPr>
          <w:p>
            <w:pPr>
              <w:spacing w:after="10" w:before="10" w:line="240" w:lineRule="auto"/>
            </w:pPr>
            <w:r>
              <w:rPr>
                <w:rFonts w:ascii="Arial" w:hAnsi="Arial"/>
                <w:b w:val="0"/>
                <w:i w:val="0"/>
                <w:sz w:val="16"/>
              </w:rPr>
              <w:t>~−30</w:t>
            </w:r>
          </w:p>
        </w:tc>
        <w:tc>
          <w:tcPr>
            <w:tcW w:type="dxa" w:w="1179"/>
            <w:tcBorders>
              <w:top w:val="nil"/>
              <w:bottom w:val="nil"/>
            </w:tcBorders>
          </w:tcPr>
          <w:p>
            <w:pPr>
              <w:spacing w:after="10" w:before="10" w:line="240" w:lineRule="auto"/>
            </w:pPr>
            <w:r>
              <w:rPr>
                <w:rFonts w:ascii="Arial" w:hAnsi="Arial"/>
                <w:b w:val="0"/>
                <w:i w:val="0"/>
                <w:sz w:val="16"/>
              </w:rPr>
              <w:t>~116</w:t>
            </w:r>
          </w:p>
        </w:tc>
        <w:tc>
          <w:tcPr>
            <w:tcW w:type="dxa" w:w="1283"/>
            <w:tcBorders>
              <w:top w:val="nil"/>
              <w:bottom w:val="nil"/>
            </w:tcBorders>
          </w:tcPr>
          <w:p>
            <w:pPr>
              <w:spacing w:after="10" w:before="10" w:line="240" w:lineRule="auto"/>
            </w:pPr>
            <w:r>
              <w:rPr>
                <w:rFonts w:ascii="Arial" w:hAnsi="Arial"/>
                <w:b w:val="0"/>
                <w:i w:val="0"/>
                <w:sz w:val="16"/>
              </w:rPr>
              <w:t>~350</w:t>
            </w:r>
          </w:p>
        </w:tc>
        <w:tc>
          <w:tcPr>
            <w:tcW w:type="dxa" w:w="1901"/>
            <w:tcBorders>
              <w:top w:val="nil"/>
              <w:bottom w:val="nil"/>
            </w:tcBorders>
          </w:tcPr>
          <w:p>
            <w:pPr>
              <w:spacing w:after="10" w:before="10" w:line="240" w:lineRule="auto"/>
            </w:pPr>
            <w:r>
              <w:rPr>
                <w:rFonts w:ascii="Arial" w:hAnsi="Arial"/>
                <w:b w:val="0"/>
                <w:i w:val="0"/>
                <w:sz w:val="16"/>
              </w:rPr>
              <w:t>0.3–0.7</w:t>
            </w:r>
          </w:p>
        </w:tc>
        <w:tc>
          <w:tcPr>
            <w:tcW w:type="dxa" w:w="1388"/>
            <w:tcBorders>
              <w:top w:val="nil"/>
              <w:bottom w:val="nil"/>
            </w:tcBorders>
          </w:tcPr>
          <w:p>
            <w:pPr>
              <w:spacing w:after="10" w:before="10" w:line="240" w:lineRule="auto"/>
            </w:pPr>
            <w:r>
              <w:rPr>
                <w:rFonts w:ascii="Arial" w:hAnsi="Arial"/>
                <w:b w:val="0"/>
                <w:i w:val="0"/>
                <w:sz w:val="16"/>
              </w:rPr>
              <w:t>200–500</w:t>
            </w:r>
          </w:p>
        </w:tc>
      </w:tr>
      <w:tr>
        <w:tc>
          <w:tcPr>
            <w:tcW w:type="dxa" w:w="1998"/>
            <w:tcBorders>
              <w:top w:val="nil"/>
              <w:bottom w:val="nil"/>
            </w:tcBorders>
          </w:tcPr>
          <w:p>
            <w:pPr>
              <w:spacing w:after="10" w:before="10" w:line="240" w:lineRule="auto"/>
            </w:pPr>
            <w:r>
              <w:rPr>
                <w:rFonts w:ascii="Arial" w:hAnsi="Arial"/>
                <w:b w:val="0"/>
                <w:i w:val="0"/>
                <w:sz w:val="16"/>
              </w:rPr>
              <w:t>天然橡胶（硫化）</w:t>
            </w:r>
          </w:p>
        </w:tc>
        <w:tc>
          <w:tcPr>
            <w:tcW w:type="dxa" w:w="1179"/>
            <w:tcBorders>
              <w:top w:val="nil"/>
              <w:bottom w:val="nil"/>
            </w:tcBorders>
          </w:tcPr>
          <w:p>
            <w:pPr>
              <w:spacing w:after="10" w:before="10" w:line="240" w:lineRule="auto"/>
            </w:pPr>
            <w:r>
              <w:rPr>
                <w:rFonts w:ascii="Arial" w:hAnsi="Arial"/>
                <w:b w:val="0"/>
                <w:i w:val="0"/>
                <w:sz w:val="16"/>
              </w:rPr>
              <w:t>~−70</w:t>
            </w:r>
          </w:p>
        </w:tc>
        <w:tc>
          <w:tcPr>
            <w:tcW w:type="dxa" w:w="1179"/>
            <w:tcBorders>
              <w:top w:val="nil"/>
              <w:bottom w:val="nil"/>
            </w:tcBorders>
          </w:tcPr>
          <w:p>
            <w:pPr>
              <w:spacing w:after="10" w:before="10" w:line="240" w:lineRule="auto"/>
            </w:pPr>
            <w:r>
              <w:rPr>
                <w:rFonts w:ascii="Arial" w:hAnsi="Arial"/>
                <w:b w:val="0"/>
                <w:i w:val="0"/>
                <w:sz w:val="16"/>
              </w:rPr>
              <w:t>–</w:t>
            </w:r>
          </w:p>
        </w:tc>
        <w:tc>
          <w:tcPr>
            <w:tcW w:type="dxa" w:w="1283"/>
            <w:tcBorders>
              <w:top w:val="nil"/>
              <w:bottom w:val="nil"/>
            </w:tcBorders>
          </w:tcPr>
          <w:p>
            <w:pPr>
              <w:spacing w:after="10" w:before="10" w:line="240" w:lineRule="auto"/>
            </w:pPr>
            <w:r>
              <w:rPr>
                <w:rFonts w:ascii="Arial" w:hAnsi="Arial"/>
                <w:b w:val="0"/>
                <w:i w:val="0"/>
                <w:sz w:val="16"/>
              </w:rPr>
              <w:t>–</w:t>
            </w:r>
          </w:p>
        </w:tc>
        <w:tc>
          <w:tcPr>
            <w:tcW w:type="dxa" w:w="1901"/>
            <w:tcBorders>
              <w:top w:val="nil"/>
              <w:bottom w:val="nil"/>
            </w:tcBorders>
          </w:tcPr>
          <w:p>
            <w:pPr>
              <w:spacing w:after="10" w:before="10" w:line="240" w:lineRule="auto"/>
            </w:pPr>
            <w:r>
              <w:rPr>
                <w:rFonts w:ascii="Arial" w:hAnsi="Arial"/>
                <w:b w:val="0"/>
                <w:i w:val="0"/>
                <w:sz w:val="16"/>
              </w:rPr>
              <w:t>0.001–0.005</w:t>
            </w:r>
          </w:p>
        </w:tc>
        <w:tc>
          <w:tcPr>
            <w:tcW w:type="dxa" w:w="1388"/>
            <w:tcBorders>
              <w:top w:val="nil"/>
              <w:bottom w:val="nil"/>
            </w:tcBorders>
          </w:tcPr>
          <w:p>
            <w:pPr>
              <w:spacing w:after="10" w:before="10" w:line="240" w:lineRule="auto"/>
            </w:pPr>
            <w:r>
              <w:rPr>
                <w:rFonts w:ascii="Arial" w:hAnsi="Arial"/>
                <w:b w:val="0"/>
                <w:i w:val="0"/>
                <w:sz w:val="16"/>
              </w:rPr>
              <w:t>500–800</w:t>
            </w:r>
          </w:p>
        </w:tc>
      </w:tr>
      <w:tr>
        <w:tc>
          <w:tcPr>
            <w:tcW w:type="dxa" w:w="1998"/>
            <w:tcBorders>
              <w:top w:val="nil"/>
              <w:bottom w:val="single" w:sz="8" w:space="0" w:color="000000"/>
            </w:tcBorders>
          </w:tcPr>
          <w:p>
            <w:pPr>
              <w:spacing w:after="10" w:before="10" w:line="240" w:lineRule="auto"/>
            </w:pPr>
            <w:r>
              <w:rPr>
                <w:rFonts w:ascii="Arial" w:hAnsi="Arial"/>
                <w:b w:val="0"/>
                <w:i w:val="0"/>
                <w:sz w:val="16"/>
              </w:rPr>
              <w:t>PET（石油基对照）</w:t>
            </w:r>
          </w:p>
        </w:tc>
        <w:tc>
          <w:tcPr>
            <w:tcW w:type="dxa" w:w="1179"/>
            <w:tcBorders>
              <w:top w:val="nil"/>
              <w:bottom w:val="single" w:sz="8" w:space="0" w:color="000000"/>
            </w:tcBorders>
          </w:tcPr>
          <w:p>
            <w:pPr>
              <w:spacing w:after="10" w:before="10" w:line="240" w:lineRule="auto"/>
            </w:pPr>
            <w:r>
              <w:rPr>
                <w:rFonts w:ascii="Arial" w:hAnsi="Arial"/>
                <w:b w:val="0"/>
                <w:i w:val="0"/>
                <w:sz w:val="16"/>
              </w:rPr>
              <w:t>~78</w:t>
            </w:r>
          </w:p>
        </w:tc>
        <w:tc>
          <w:tcPr>
            <w:tcW w:type="dxa" w:w="1179"/>
            <w:tcBorders>
              <w:top w:val="nil"/>
              <w:bottom w:val="single" w:sz="8" w:space="0" w:color="000000"/>
            </w:tcBorders>
          </w:tcPr>
          <w:p>
            <w:pPr>
              <w:spacing w:after="10" w:before="10" w:line="240" w:lineRule="auto"/>
            </w:pPr>
            <w:r>
              <w:rPr>
                <w:rFonts w:ascii="Arial" w:hAnsi="Arial"/>
                <w:b w:val="0"/>
                <w:i w:val="0"/>
                <w:sz w:val="16"/>
              </w:rPr>
              <w:t>~255</w:t>
            </w:r>
          </w:p>
        </w:tc>
        <w:tc>
          <w:tcPr>
            <w:tcW w:type="dxa" w:w="1283"/>
            <w:tcBorders>
              <w:top w:val="nil"/>
              <w:bottom w:val="single" w:sz="8" w:space="0" w:color="000000"/>
            </w:tcBorders>
          </w:tcPr>
          <w:p>
            <w:pPr>
              <w:spacing w:after="10" w:before="10" w:line="240" w:lineRule="auto"/>
            </w:pPr>
            <w:r>
              <w:rPr>
                <w:rFonts w:ascii="Arial" w:hAnsi="Arial"/>
                <w:b w:val="0"/>
                <w:i w:val="0"/>
                <w:sz w:val="16"/>
              </w:rPr>
              <w:t>~400</w:t>
            </w:r>
          </w:p>
        </w:tc>
        <w:tc>
          <w:tcPr>
            <w:tcW w:type="dxa" w:w="1901"/>
            <w:tcBorders>
              <w:top w:val="nil"/>
              <w:bottom w:val="single" w:sz="8" w:space="0" w:color="000000"/>
            </w:tcBorders>
          </w:tcPr>
          <w:p>
            <w:pPr>
              <w:spacing w:after="10" w:before="10" w:line="240" w:lineRule="auto"/>
            </w:pPr>
            <w:r>
              <w:rPr>
                <w:rFonts w:ascii="Arial" w:hAnsi="Arial"/>
                <w:b w:val="0"/>
                <w:i w:val="0"/>
                <w:sz w:val="16"/>
              </w:rPr>
              <w:t>2.0–4.0</w:t>
            </w:r>
          </w:p>
        </w:tc>
        <w:tc>
          <w:tcPr>
            <w:tcW w:type="dxa" w:w="1388"/>
            <w:tcBorders>
              <w:top w:val="nil"/>
              <w:bottom w:val="single" w:sz="8" w:space="0" w:color="000000"/>
            </w:tcBorders>
          </w:tcPr>
          <w:p>
            <w:pPr>
              <w:spacing w:after="10" w:before="10" w:line="240" w:lineRule="auto"/>
            </w:pPr>
            <w:r>
              <w:rPr>
                <w:rFonts w:ascii="Arial" w:hAnsi="Arial"/>
                <w:b w:val="0"/>
                <w:i w:val="0"/>
                <w:sz w:val="16"/>
              </w:rPr>
              <w:t>50–300</w:t>
            </w:r>
          </w:p>
        </w:tc>
      </w:tr>
    </w:tbl>
    <w:p>
      <w:pPr>
        <w:spacing w:after="0" w:line="240" w:lineRule="auto"/>
      </w:pPr>
    </w:p>
    <w:p>
      <w:pPr>
        <w:jc w:val="center"/>
      </w:pPr>
      <w:r>
        <w:rPr>
          <w:i/>
        </w:rPr>
        <w:t>数值为指示性范围，随试样形态、含水量与热历史变化；逐行来源与测试条件见 `figures/data/</w:t>
      </w:r>
      <w:r>
        <w:rPr>
          <w:b w:val="0"/>
          <w:i w:val="0"/>
        </w:rPr>
        <w:t>.csv`。*</w:t>
      </w:r>
    </w:p>
    <w:p>
      <w:pPr>
        <w:pStyle w:val="Heading1"/>
      </w:pPr>
      <w:r>
        <w:t>4. 分子量及其测定</w:t>
      </w:r>
    </w:p>
    <w:p>
      <w:pPr>
        <w:jc w:val="both"/>
      </w:pPr>
      <w:r>
        <w:rPr>
          <w:b w:val="0"/>
          <w:i w:val="0"/>
        </w:rPr>
        <w:t>很多综述只说生物聚合物"分子量高"。更重要的是整个分布，而不只是平均值。常用的量有数均分子量 Mn、重均分子量 Mw、分散度 Đ = Mw/Mn [46]，以及聚合度。其中 Đ 最有用，因为决定材料怎么加工、以及同一批料里力学性能分散多大的是 Đ，不是 Mn。</w:t>
      </w:r>
    </w:p>
    <w:p>
      <w:pPr>
        <w:jc w:val="both"/>
      </w:pPr>
      <w:r>
        <w:rPr>
          <w:b w:val="0"/>
          <w:i w:val="0"/>
        </w:rPr>
        <w:t>Đ 的大小直接反映这个聚合物是怎么合成的（图 3）。蛋白质和核酸按模板合成，每条链长度一样， Đ 正好等于 1.0。其他所有路线都会把分布拓宽。提取（纤维素、壳聚糖、天然橡胶）和催化聚合（PHA、PLA）得到的 Đ，取决于这条路线控制得多严。天然橡胶是最极端的：它是采收来的，不是一条一条链聚出来的，所以它的 Mw 和分布随橡胶树无性系不同、随树龄而变 [19]。没有哪种合成聚合物会这样变。</w:t>
      </w:r>
    </w:p>
    <w:p>
      <w:pPr>
        <w:keepNext/>
        <w:spacing w:after="40"/>
        <w:jc w:val="center"/>
      </w:pPr>
      <w:r>
        <w:drawing>
          <wp:inline xmlns:a="http://schemas.openxmlformats.org/drawingml/2006/main" xmlns:pic="http://schemas.openxmlformats.org/drawingml/2006/picture">
            <wp:extent cx="4114800" cy="1985148"/>
            <wp:docPr id="3" name="Picture 3"/>
            <wp:cNvGraphicFramePr>
              <a:graphicFrameLocks noChangeAspect="1"/>
            </wp:cNvGraphicFramePr>
            <a:graphic>
              <a:graphicData uri="http://schemas.openxmlformats.org/drawingml/2006/picture">
                <pic:pic>
                  <pic:nvPicPr>
                    <pic:cNvPr id="0" name="fig9_dispersity.png"/>
                    <pic:cNvPicPr/>
                  </pic:nvPicPr>
                  <pic:blipFill>
                    <a:blip r:embed="rId12"/>
                    <a:stretch>
                      <a:fillRect/>
                    </a:stretch>
                  </pic:blipFill>
                  <pic:spPr>
                    <a:xfrm>
                      <a:off x="0" y="0"/>
                      <a:ext cx="4114800" cy="1985148"/>
                    </a:xfrm>
                    <a:prstGeom prst="rect"/>
                  </pic:spPr>
                </pic:pic>
              </a:graphicData>
            </a:graphic>
          </wp:inline>
        </w:drawing>
      </w:r>
    </w:p>
    <w:p>
      <w:pPr>
        <w:spacing w:line="240" w:lineRule="auto" w:after="80"/>
        <w:jc w:val="center"/>
      </w:pPr>
      <w:r>
        <w:rPr>
          <w:i/>
          <w:sz w:val="20"/>
        </w:rPr>
        <w:t>图 3．各家族分散度 Đ 在同一坐标轴上的对比（按主链类别配色）：模板合成对应 Đ = 1 的一个点，PLA、PHA、壳聚糖、纤维素各有一段文献范围，天然橡胶因缺乏定量文献值画成一个开口箭头</w:t>
      </w:r>
    </w:p>
    <w:p>
      <w:pPr>
        <w:jc w:val="both"/>
      </w:pPr>
      <w:r>
        <w:rPr>
          <w:b w:val="0"/>
          <w:i w:val="0"/>
        </w:rPr>
        <w:t>分子量通过链缠结决定性能。链要足够长、能相互缠结，超过一个临界值 Mc，聚合物才有完整的强度和韧性 [48]。低于 Mc，强度和韧性都塌掉。高于 Mc，拉伸强度随 Mn 升高、然后趋于平缓（Flory 型关系 σ ≈ σ∞ − K/Mn）[47]。降解最先表现为分子量下降。在链跌回 Mc 以下之前，性能损失很小。一旦跌破 Mc，性能就突然失效。</w:t>
      </w:r>
    </w:p>
    <w:p>
      <w:pPr>
        <w:jc w:val="both"/>
      </w:pPr>
      <w:r>
        <w:rPr>
          <w:b w:val="0"/>
          <w:i w:val="0"/>
        </w:rPr>
        <w:t>测生物聚合物的分子量比测合成聚合物难。纤维素不溶于任何标准 SEC 淋洗液，必须先衍生化或用强溶剂溶解。聚集和链支化还会扭曲用线性标准品校准的 SEC。SEC-MALS 和 Mark-Houwink 特性粘度法能绕开校准问题，但很多生物聚合物和溶剂的组合没有测过 Mark-Houwink 参数。结果是文献里同一种材料的分子量常常相差十倍。这多半是方法造成的，所以报分子量必须连测定方法一起报。</w:t>
      </w:r>
    </w:p>
    <w:p>
      <w:pPr>
        <w:spacing w:line="240" w:lineRule="auto" w:after="40"/>
      </w:pPr>
      <w:r>
        <w:rPr>
          <w:b/>
          <w:i w:val="0"/>
          <w:sz w:val="20"/>
        </w:rPr>
        <w:t>表 3.</w:t>
      </w:r>
      <w:r>
        <w:rPr>
          <w:b w:val="0"/>
          <w:i w:val="0"/>
          <w:sz w:val="20"/>
        </w:rPr>
        <w:t xml:space="preserve"> 代表性生物聚合物的典型数均分子量及其标准测定方法（分散度 Đ 已画在图 3 中，此处不再重复）。</w:t>
      </w:r>
    </w:p>
    <w:tbl>
      <w:tblPr>
        <w:tblW w:type="auto" w:w="0"/>
        <w:jc w:val="center"/>
        <w:tblLayout w:type="fixed"/>
        <w:tblLook w:firstColumn="1" w:firstRow="1" w:lastColumn="0" w:lastRow="0" w:noHBand="0" w:noVBand="1" w:val="04A0"/>
        <w:tblLayout w:type="fixed"/>
      </w:tblPr>
      <w:tblGrid>
        <w:gridCol w:w="2668"/>
        <w:gridCol w:w="1770"/>
        <w:gridCol w:w="4489"/>
      </w:tblGrid>
      <w:tr>
        <w:tc>
          <w:tcPr>
            <w:tcW w:type="dxa" w:w="2669"/>
            <w:tcBorders>
              <w:top w:val="single" w:sz="8" w:space="0" w:color="000000"/>
              <w:bottom w:val="single" w:sz="8" w:space="0" w:color="000000"/>
            </w:tcBorders>
          </w:tcPr>
          <w:p>
            <w:pPr>
              <w:spacing w:after="10" w:before="10" w:line="240" w:lineRule="auto"/>
            </w:pPr>
            <w:r>
              <w:rPr>
                <w:rFonts w:ascii="Arial" w:hAnsi="Arial"/>
                <w:b/>
                <w:i w:val="0"/>
                <w:sz w:val="16"/>
              </w:rPr>
              <w:t>材料</w:t>
            </w:r>
          </w:p>
        </w:tc>
        <w:tc>
          <w:tcPr>
            <w:tcW w:type="dxa" w:w="1770"/>
            <w:tcBorders>
              <w:top w:val="single" w:sz="8" w:space="0" w:color="000000"/>
              <w:bottom w:val="single" w:sz="8" w:space="0" w:color="000000"/>
            </w:tcBorders>
          </w:tcPr>
          <w:p>
            <w:pPr>
              <w:spacing w:after="10" w:before="10" w:line="240" w:lineRule="auto"/>
            </w:pPr>
            <w:r>
              <w:rPr>
                <w:rFonts w:ascii="Arial" w:hAnsi="Arial"/>
                <w:b/>
                <w:i w:val="0"/>
                <w:sz w:val="16"/>
              </w:rPr>
              <w:t>典型 Mn</w:t>
            </w:r>
          </w:p>
        </w:tc>
        <w:tc>
          <w:tcPr>
            <w:tcW w:type="dxa" w:w="4489"/>
            <w:tcBorders>
              <w:top w:val="single" w:sz="8" w:space="0" w:color="000000"/>
              <w:bottom w:val="single" w:sz="8" w:space="0" w:color="000000"/>
            </w:tcBorders>
          </w:tcPr>
          <w:p>
            <w:pPr>
              <w:spacing w:after="10" w:before="10" w:line="240" w:lineRule="auto"/>
            </w:pPr>
            <w:r>
              <w:rPr>
                <w:rFonts w:ascii="Arial" w:hAnsi="Arial"/>
                <w:b/>
                <w:i w:val="0"/>
                <w:sz w:val="16"/>
              </w:rPr>
              <w:t>标准测定方法（主要局限）</w:t>
            </w:r>
          </w:p>
        </w:tc>
      </w:tr>
      <w:tr>
        <w:tc>
          <w:tcPr>
            <w:tcW w:type="dxa" w:w="2669"/>
            <w:tcBorders>
              <w:top w:val="nil"/>
              <w:bottom w:val="nil"/>
            </w:tcBorders>
          </w:tcPr>
          <w:p>
            <w:pPr>
              <w:spacing w:after="10" w:before="10" w:line="240" w:lineRule="auto"/>
            </w:pPr>
            <w:r>
              <w:rPr>
                <w:rFonts w:ascii="Arial" w:hAnsi="Arial"/>
                <w:b w:val="0"/>
                <w:i w:val="0"/>
                <w:sz w:val="16"/>
              </w:rPr>
              <w:t>蛋白质／DNA／RNA</w:t>
            </w:r>
          </w:p>
        </w:tc>
        <w:tc>
          <w:tcPr>
            <w:tcW w:type="dxa" w:w="1770"/>
            <w:tcBorders>
              <w:top w:val="nil"/>
              <w:bottom w:val="nil"/>
            </w:tcBorders>
          </w:tcPr>
          <w:p>
            <w:pPr>
              <w:spacing w:after="10" w:before="10" w:line="240" w:lineRule="auto"/>
            </w:pPr>
            <w:r>
              <w:rPr>
                <w:rFonts w:ascii="Arial" w:hAnsi="Arial"/>
                <w:b w:val="0"/>
                <w:i w:val="0"/>
                <w:sz w:val="16"/>
              </w:rPr>
              <w:t>序列特异</w:t>
            </w:r>
          </w:p>
        </w:tc>
        <w:tc>
          <w:tcPr>
            <w:tcW w:type="dxa" w:w="4489"/>
            <w:tcBorders>
              <w:top w:val="nil"/>
              <w:bottom w:val="nil"/>
            </w:tcBorders>
          </w:tcPr>
          <w:p>
            <w:pPr>
              <w:spacing w:after="10" w:before="10" w:line="240" w:lineRule="auto"/>
            </w:pPr>
            <w:r>
              <w:rPr>
                <w:rFonts w:ascii="Arial" w:hAnsi="Arial"/>
                <w:b w:val="0"/>
                <w:i w:val="0"/>
                <w:sz w:val="16"/>
              </w:rPr>
              <w:t>质谱（无局限，模板合成）</w:t>
            </w:r>
          </w:p>
        </w:tc>
      </w:tr>
      <w:tr>
        <w:tc>
          <w:tcPr>
            <w:tcW w:type="dxa" w:w="2669"/>
            <w:tcBorders>
              <w:top w:val="nil"/>
              <w:bottom w:val="nil"/>
            </w:tcBorders>
          </w:tcPr>
          <w:p>
            <w:pPr>
              <w:spacing w:after="10" w:before="10" w:line="240" w:lineRule="auto"/>
            </w:pPr>
            <w:r>
              <w:rPr>
                <w:rFonts w:ascii="Arial" w:hAnsi="Arial"/>
                <w:b w:val="0"/>
                <w:i w:val="0"/>
                <w:sz w:val="16"/>
              </w:rPr>
              <w:t>纤维素（天然/Lyocell）</w:t>
            </w:r>
          </w:p>
        </w:tc>
        <w:tc>
          <w:tcPr>
            <w:tcW w:type="dxa" w:w="1770"/>
            <w:tcBorders>
              <w:top w:val="nil"/>
              <w:bottom w:val="nil"/>
            </w:tcBorders>
          </w:tcPr>
          <w:p>
            <w:pPr>
              <w:spacing w:after="10" w:before="10" w:line="240" w:lineRule="auto"/>
            </w:pPr>
            <w:r>
              <w:rPr>
                <w:rFonts w:ascii="Arial" w:hAnsi="Arial"/>
                <w:b w:val="0"/>
                <w:i w:val="0"/>
                <w:sz w:val="16"/>
              </w:rPr>
              <w:t>10⁴–10⁶ g mol⁻¹</w:t>
            </w:r>
          </w:p>
        </w:tc>
        <w:tc>
          <w:tcPr>
            <w:tcW w:type="dxa" w:w="4489"/>
            <w:tcBorders>
              <w:top w:val="nil"/>
              <w:bottom w:val="nil"/>
            </w:tcBorders>
          </w:tcPr>
          <w:p>
            <w:pPr>
              <w:spacing w:after="10" w:before="10" w:line="240" w:lineRule="auto"/>
            </w:pPr>
            <w:r>
              <w:rPr>
                <w:rFonts w:ascii="Arial" w:hAnsi="Arial"/>
                <w:b w:val="0"/>
                <w:i w:val="0"/>
                <w:sz w:val="16"/>
              </w:rPr>
              <w:t>衍生化后特性粘度法/SEC-MALS（不溶于标准淋洗液）</w:t>
            </w:r>
          </w:p>
        </w:tc>
      </w:tr>
      <w:tr>
        <w:tc>
          <w:tcPr>
            <w:tcW w:type="dxa" w:w="2669"/>
            <w:tcBorders>
              <w:top w:val="nil"/>
              <w:bottom w:val="nil"/>
            </w:tcBorders>
          </w:tcPr>
          <w:p>
            <w:pPr>
              <w:spacing w:after="10" w:before="10" w:line="240" w:lineRule="auto"/>
            </w:pPr>
            <w:r>
              <w:rPr>
                <w:rFonts w:ascii="Arial" w:hAnsi="Arial"/>
                <w:b w:val="0"/>
                <w:i w:val="0"/>
                <w:sz w:val="16"/>
              </w:rPr>
              <w:t>壳聚糖</w:t>
            </w:r>
          </w:p>
        </w:tc>
        <w:tc>
          <w:tcPr>
            <w:tcW w:type="dxa" w:w="1770"/>
            <w:tcBorders>
              <w:top w:val="nil"/>
              <w:bottom w:val="nil"/>
            </w:tcBorders>
          </w:tcPr>
          <w:p>
            <w:pPr>
              <w:spacing w:after="10" w:before="10" w:line="240" w:lineRule="auto"/>
            </w:pPr>
            <w:r>
              <w:rPr>
                <w:rFonts w:ascii="Arial" w:hAnsi="Arial"/>
                <w:b w:val="0"/>
                <w:i w:val="0"/>
                <w:sz w:val="16"/>
              </w:rPr>
              <w:t>10⁴–10⁶ g mol⁻¹</w:t>
            </w:r>
          </w:p>
        </w:tc>
        <w:tc>
          <w:tcPr>
            <w:tcW w:type="dxa" w:w="4489"/>
            <w:tcBorders>
              <w:top w:val="nil"/>
              <w:bottom w:val="nil"/>
            </w:tcBorders>
          </w:tcPr>
          <w:p>
            <w:pPr>
              <w:spacing w:after="10" w:before="10" w:line="240" w:lineRule="auto"/>
            </w:pPr>
            <w:r>
              <w:rPr>
                <w:rFonts w:ascii="Arial" w:hAnsi="Arial"/>
                <w:b w:val="0"/>
                <w:i w:val="0"/>
                <w:sz w:val="16"/>
              </w:rPr>
              <w:t>特性粘度法（DD/MW 权衡，§3.1）</w:t>
            </w:r>
          </w:p>
        </w:tc>
      </w:tr>
      <w:tr>
        <w:tc>
          <w:tcPr>
            <w:tcW w:type="dxa" w:w="2669"/>
            <w:tcBorders>
              <w:top w:val="nil"/>
              <w:bottom w:val="nil"/>
            </w:tcBorders>
          </w:tcPr>
          <w:p>
            <w:pPr>
              <w:spacing w:after="10" w:before="10" w:line="240" w:lineRule="auto"/>
            </w:pPr>
            <w:r>
              <w:rPr>
                <w:rFonts w:ascii="Arial" w:hAnsi="Arial"/>
                <w:b w:val="0"/>
                <w:i w:val="0"/>
                <w:sz w:val="16"/>
              </w:rPr>
              <w:t>PHA（PHB/PHBV）</w:t>
            </w:r>
          </w:p>
        </w:tc>
        <w:tc>
          <w:tcPr>
            <w:tcW w:type="dxa" w:w="1770"/>
            <w:tcBorders>
              <w:top w:val="nil"/>
              <w:bottom w:val="nil"/>
            </w:tcBorders>
          </w:tcPr>
          <w:p>
            <w:pPr>
              <w:spacing w:after="10" w:before="10" w:line="240" w:lineRule="auto"/>
            </w:pPr>
            <w:r>
              <w:rPr>
                <w:rFonts w:ascii="Arial" w:hAnsi="Arial"/>
                <w:b w:val="0"/>
                <w:i w:val="0"/>
                <w:sz w:val="16"/>
              </w:rPr>
              <w:t>10⁵–10⁶ g mol⁻¹</w:t>
            </w:r>
          </w:p>
        </w:tc>
        <w:tc>
          <w:tcPr>
            <w:tcW w:type="dxa" w:w="4489"/>
            <w:tcBorders>
              <w:top w:val="nil"/>
              <w:bottom w:val="nil"/>
            </w:tcBorders>
          </w:tcPr>
          <w:p>
            <w:pPr>
              <w:spacing w:after="10" w:before="10" w:line="240" w:lineRule="auto"/>
            </w:pPr>
            <w:r>
              <w:rPr>
                <w:rFonts w:ascii="Arial" w:hAnsi="Arial"/>
                <w:b w:val="0"/>
                <w:i w:val="0"/>
                <w:sz w:val="16"/>
              </w:rPr>
              <w:t>GPC/SEC，聚苯乙烯标准品（校准不匹配）</w:t>
            </w:r>
          </w:p>
        </w:tc>
      </w:tr>
      <w:tr>
        <w:tc>
          <w:tcPr>
            <w:tcW w:type="dxa" w:w="2669"/>
            <w:tcBorders>
              <w:top w:val="nil"/>
              <w:bottom w:val="nil"/>
            </w:tcBorders>
          </w:tcPr>
          <w:p>
            <w:pPr>
              <w:spacing w:after="10" w:before="10" w:line="240" w:lineRule="auto"/>
            </w:pPr>
            <w:r>
              <w:rPr>
                <w:rFonts w:ascii="Arial" w:hAnsi="Arial"/>
                <w:b w:val="0"/>
                <w:i w:val="0"/>
                <w:sz w:val="16"/>
              </w:rPr>
              <w:t>PLA</w:t>
            </w:r>
          </w:p>
        </w:tc>
        <w:tc>
          <w:tcPr>
            <w:tcW w:type="dxa" w:w="1770"/>
            <w:tcBorders>
              <w:top w:val="nil"/>
              <w:bottom w:val="nil"/>
            </w:tcBorders>
          </w:tcPr>
          <w:p>
            <w:pPr>
              <w:spacing w:after="10" w:before="10" w:line="240" w:lineRule="auto"/>
            </w:pPr>
            <w:r>
              <w:rPr>
                <w:rFonts w:ascii="Arial" w:hAnsi="Arial"/>
                <w:b w:val="0"/>
                <w:i w:val="0"/>
                <w:sz w:val="16"/>
              </w:rPr>
              <w:t>10⁴–10⁵ g mol⁻¹</w:t>
            </w:r>
          </w:p>
        </w:tc>
        <w:tc>
          <w:tcPr>
            <w:tcW w:type="dxa" w:w="4489"/>
            <w:tcBorders>
              <w:top w:val="nil"/>
              <w:bottom w:val="nil"/>
            </w:tcBorders>
          </w:tcPr>
          <w:p>
            <w:pPr>
              <w:spacing w:after="10" w:before="10" w:line="240" w:lineRule="auto"/>
            </w:pPr>
            <w:r>
              <w:rPr>
                <w:rFonts w:ascii="Arial" w:hAnsi="Arial"/>
                <w:b w:val="0"/>
                <w:i w:val="0"/>
                <w:sz w:val="16"/>
              </w:rPr>
              <w:t>GPC/SEC（加工中水分导致水解）</w:t>
            </w:r>
          </w:p>
        </w:tc>
      </w:tr>
      <w:tr>
        <w:tc>
          <w:tcPr>
            <w:tcW w:type="dxa" w:w="2669"/>
            <w:tcBorders>
              <w:top w:val="nil"/>
              <w:bottom w:val="single" w:sz="8" w:space="0" w:color="000000"/>
            </w:tcBorders>
          </w:tcPr>
          <w:p>
            <w:pPr>
              <w:spacing w:after="10" w:before="10" w:line="240" w:lineRule="auto"/>
            </w:pPr>
            <w:r>
              <w:rPr>
                <w:rFonts w:ascii="Arial" w:hAnsi="Arial"/>
                <w:b w:val="0"/>
                <w:i w:val="0"/>
                <w:sz w:val="16"/>
              </w:rPr>
              <w:t>天然橡胶</w:t>
            </w:r>
          </w:p>
        </w:tc>
        <w:tc>
          <w:tcPr>
            <w:tcW w:type="dxa" w:w="1770"/>
            <w:tcBorders>
              <w:top w:val="nil"/>
              <w:bottom w:val="single" w:sz="8" w:space="0" w:color="000000"/>
            </w:tcBorders>
          </w:tcPr>
          <w:p>
            <w:pPr>
              <w:spacing w:after="10" w:before="10" w:line="240" w:lineRule="auto"/>
            </w:pPr>
            <w:r>
              <w:rPr>
                <w:rFonts w:ascii="Arial" w:hAnsi="Arial"/>
                <w:b w:val="0"/>
                <w:i w:val="0"/>
                <w:sz w:val="16"/>
              </w:rPr>
              <w:t>常 &gt;10⁶ g mol⁻¹</w:t>
            </w:r>
          </w:p>
        </w:tc>
        <w:tc>
          <w:tcPr>
            <w:tcW w:type="dxa" w:w="4489"/>
            <w:tcBorders>
              <w:top w:val="nil"/>
              <w:bottom w:val="single" w:sz="8" w:space="0" w:color="000000"/>
            </w:tcBorders>
          </w:tcPr>
          <w:p>
            <w:pPr>
              <w:spacing w:after="10" w:before="10" w:line="240" w:lineRule="auto"/>
            </w:pPr>
            <w:r>
              <w:rPr>
                <w:rFonts w:ascii="Arial" w:hAnsi="Arial"/>
                <w:b w:val="0"/>
                <w:i w:val="0"/>
                <w:sz w:val="16"/>
              </w:rPr>
              <w:t>特性粘度法（无合成聚合物类比）</w:t>
            </w:r>
          </w:p>
        </w:tc>
      </w:tr>
    </w:tbl>
    <w:p>
      <w:pPr>
        <w:spacing w:after="0" w:line="240" w:lineRule="auto"/>
      </w:pPr>
    </w:p>
    <w:p>
      <w:pPr>
        <w:jc w:val="center"/>
      </w:pPr>
      <w:r>
        <w:rPr>
          <w:i/>
        </w:rPr>
        <w:t>Mn 为数量级估算；方法一列及其局限依据 [39,46] 与 §4。</w:t>
      </w:r>
    </w:p>
    <w:p>
      <w:pPr>
        <w:pStyle w:val="Heading1"/>
      </w:pPr>
      <w:r>
        <w:t>5. 性质的横向规律</w:t>
      </w:r>
    </w:p>
    <w:p>
      <w:pPr>
        <w:jc w:val="both"/>
      </w:pPr>
      <w:r>
        <w:rPr>
          <w:b w:val="0"/>
          <w:i w:val="0"/>
        </w:rPr>
        <w:t>上一节逐个看了每个家族，这一节看它们的共同点。</w:t>
      </w:r>
    </w:p>
    <w:p>
      <w:pPr>
        <w:pStyle w:val="Heading2"/>
      </w:pPr>
      <w:r>
        <w:t>5.1 热行为</w:t>
      </w:r>
    </w:p>
    <w:p>
      <w:pPr>
        <w:jc w:val="both"/>
      </w:pPr>
      <w:r>
        <w:rPr>
          <w:b w:val="0"/>
          <w:i w:val="0"/>
        </w:rPr>
        <w:t>大多数生物聚合物的分解温度都在熔点或熔点以下（图 4a）。原因和它们发硬的原因是同一个：强氢键和密集的极性基团把熔化晶体所需的能量抬高，抬到接近断开主链键所需的能量，于是熔融和分解两件事重叠了。纤维素、壳聚糖、丝素蛋白根本还没熔就已经分解。聚酯家族里这个差距小但真实存在：PHB 的熔融加工窗口只有约 20 °C，PHBV 约 55 °C，PLLA 稍宽一些 [44]。图 4a 标的是 TGA 分解起始温度。实际上 PHB 和 PLLA 可用的窗口还要更窄，因为熔体水解（§4）在这个起始温度之前就开始了。</w:t>
      </w:r>
    </w:p>
    <w:p>
      <w:pPr>
        <w:jc w:val="both"/>
      </w:pPr>
      <w:r>
        <w:rPr>
          <w:b w:val="0"/>
          <w:i w:val="0"/>
        </w:rPr>
        <w:t>这个窗口决定每种材料怎么加工。PBS、PLA、PHB 有窗口，走熔融加工，不过 PLA 必须先干燥、否则分子量崩塌（§4），PHB 需要严格控温。纤维素和壳聚糖没有窗口，只能从溶液中成型，用 Lyocell 工艺的 NMMO 或稀酸纺丝。增塑剂、成核剂、增容共混（PLA 与 PBAT 或与热塑性淀粉）、纳米纤维素增强，都是在拓宽一个偏窄的窗口。大多数所谓的"性能不足"其实是加工窗口不足，不是材料本身的性质不足。</w:t>
      </w:r>
    </w:p>
    <w:p>
      <w:pPr>
        <w:pStyle w:val="Heading2"/>
      </w:pPr>
      <w:r>
        <w:t>5.2 力学行为</w:t>
      </w:r>
    </w:p>
    <w:p>
      <w:pPr>
        <w:jc w:val="both"/>
      </w:pPr>
      <w:r>
        <w:rPr>
          <w:b w:val="0"/>
          <w:i w:val="0"/>
        </w:rPr>
        <w:t>同样的结构决定了力学范围（图 4b）。高结晶度和密集氢键把模量抬上去，但也留不下几段柔性链段，所以生物聚合物不能像聚乙烯、聚丙烯那样在断裂前拉长。大多数生物聚合物因此落在 "高模量、低断裂伸长"这个角落里，相对于 LDPE、PP、PET [11,43]。天然橡胶是例外：它放松时几乎没有模量，只有受力时才通过 SIC 产生性能（§3.5、§6.3）。图 4b 里画的是区间，不是点。试样形态、含水量、结晶度、热历史每一个都能把同一材料的数据挪动最多十倍。这在 §6.2 会作为"批次变异性"再次出现。</w:t>
      </w:r>
    </w:p>
    <w:p>
      <w:pPr>
        <w:keepNext/>
        <w:spacing w:after="40"/>
        <w:jc w:val="center"/>
      </w:pPr>
      <w:r>
        <w:drawing>
          <wp:inline xmlns:a="http://schemas.openxmlformats.org/drawingml/2006/main" xmlns:pic="http://schemas.openxmlformats.org/drawingml/2006/picture">
            <wp:extent cx="4114800" cy="1791450"/>
            <wp:docPr id="4" name="Picture 4"/>
            <wp:cNvGraphicFramePr>
              <a:graphicFrameLocks noChangeAspect="1"/>
            </wp:cNvGraphicFramePr>
            <a:graphic>
              <a:graphicData uri="http://schemas.openxmlformats.org/drawingml/2006/picture">
                <pic:pic>
                  <pic:nvPicPr>
                    <pic:cNvPr id="0" name="fig_property_maps.png"/>
                    <pic:cNvPicPr/>
                  </pic:nvPicPr>
                  <pic:blipFill>
                    <a:blip r:embed="rId13"/>
                    <a:stretch>
                      <a:fillRect/>
                    </a:stretch>
                  </pic:blipFill>
                  <pic:spPr>
                    <a:xfrm>
                      <a:off x="0" y="0"/>
                      <a:ext cx="4114800" cy="1791450"/>
                    </a:xfrm>
                    <a:prstGeom prst="rect"/>
                  </pic:spPr>
                </pic:pic>
              </a:graphicData>
            </a:graphic>
          </wp:inline>
        </w:drawing>
      </w:r>
    </w:p>
    <w:p>
      <w:pPr>
        <w:spacing w:line="240" w:lineRule="auto" w:after="80"/>
        <w:jc w:val="center"/>
      </w:pPr>
      <w:r>
        <w:rPr>
          <w:i/>
          <w:sz w:val="20"/>
        </w:rPr>
        <w:t>图 4．热学与力学包络，作者自绘，数据来自 `figures/data/*.csv`。(a) Tg（空心圆）、Tm （菱形）、TGA 分解起始（竖线）画在同一温标上。阴影带是熔融加工窗口（Tm 到 Td），宽度直接标注；纤维素、天然淀粉、壳聚糖、丝素没有窗口。(b) 模量对断裂伸长率，对数-对数坐标。椭圆是所述试样形态的文献取值区间，不是误差棒。LDPE、PP、PET 作参照</w:t>
      </w:r>
    </w:p>
    <w:p>
      <w:pPr>
        <w:pStyle w:val="Heading2"/>
      </w:pPr>
      <w:r>
        <w:t>5.3 亲水性与阻隔性能</w:t>
      </w:r>
    </w:p>
    <w:p>
      <w:pPr>
        <w:jc w:val="both"/>
      </w:pPr>
      <w:r>
        <w:rPr>
          <w:b w:val="0"/>
          <w:i w:val="0"/>
        </w:rPr>
        <w:t>给 §5.1 和 §5.2 提供强度的极性基团还有第三个后果：它们让材料吸水。被吸收的水会增塑无定形部分、撑开自由体积，所以阻隔性能随湿度上升而下降。这就是为什么一张 PLA 或淀粉薄膜的阻隔等级必须连同一个储存湿度一起给出，而不能是一个单一数字。对 PLA 中氧气和水输运的分子动力学模拟通过跟踪自由体积份数重现了这种湿度依赖，可在做包装试验前先筛选薄膜 [57,58]。</w:t>
      </w:r>
    </w:p>
    <w:p>
      <w:pPr>
        <w:pStyle w:val="Heading2"/>
      </w:pPr>
      <w:r>
        <w:t>5.4 降解作为一种材料性质</w:t>
      </w:r>
    </w:p>
    <w:p>
      <w:pPr>
        <w:jc w:val="both"/>
      </w:pPr>
      <w:r>
        <w:rPr>
          <w:b w:val="0"/>
          <w:i w:val="0"/>
        </w:rPr>
        <w:t>降解是一个由结构控制的速率过程（图 5）。聚酯通过一种会自我催化的酯水解降解。每次断链留下的酸性端基会加速下一次断链，所以制品薄到临界厚度以下之后，它的内部比表面侵蚀得更快。这就是本体侵蚀 [49]。多糖和蛋白质则通过酶降解，酶只能触及无定形链段，所以速率取决于可及的表面积，而不是整体化学 [50]。因此结晶度是本文的核心权衡。设定模量（§5.2）、把水挡在外面（§5.3）的同一个特征，也把会降解材料的攻击挡在外面。量子化学计算已分别刻画了碱催化和水辅助中性两条酯水解路径，能重现"聚酯在酸或碱中比在中性 pH 下水解快得多"这一规律 [59,60]。</w:t>
      </w:r>
    </w:p>
    <w:p>
      <w:pPr>
        <w:keepNext/>
        <w:spacing w:after="40"/>
        <w:jc w:val="center"/>
      </w:pPr>
      <w:r>
        <w:drawing>
          <wp:inline xmlns:a="http://schemas.openxmlformats.org/drawingml/2006/main" xmlns:pic="http://schemas.openxmlformats.org/drawingml/2006/picture">
            <wp:extent cx="4114800" cy="967465"/>
            <wp:docPr id="5" name="Picture 5"/>
            <wp:cNvGraphicFramePr>
              <a:graphicFrameLocks noChangeAspect="1"/>
            </wp:cNvGraphicFramePr>
            <a:graphic>
              <a:graphicData uri="http://schemas.openxmlformats.org/drawingml/2006/picture">
                <pic:pic>
                  <pic:nvPicPr>
                    <pic:cNvPr id="0" name="fig_degradation.png"/>
                    <pic:cNvPicPr/>
                  </pic:nvPicPr>
                  <pic:blipFill>
                    <a:blip r:embed="rId14"/>
                    <a:stretch>
                      <a:fillRect/>
                    </a:stretch>
                  </pic:blipFill>
                  <pic:spPr>
                    <a:xfrm>
                      <a:off x="0" y="0"/>
                      <a:ext cx="4114800" cy="967465"/>
                    </a:xfrm>
                    <a:prstGeom prst="rect"/>
                  </pic:spPr>
                </pic:pic>
              </a:graphicData>
            </a:graphic>
          </wp:inline>
        </w:drawing>
      </w:r>
    </w:p>
    <w:p>
      <w:pPr>
        <w:spacing w:line="240" w:lineRule="auto" w:after="80"/>
        <w:jc w:val="center"/>
      </w:pPr>
      <w:r>
        <w:rPr>
          <w:i/>
          <w:sz w:val="20"/>
        </w:rPr>
        <w:t>图 5．两条降解路径，作者自绘。(a) 聚酯酯键水解：酸性端基催化进一步断链，所以厚制品从内部先坏（本体侵蚀）。(b) 对多糖和蛋白质的酶解只能进入无定形区，所以结晶度决定速率</w:t>
      </w:r>
    </w:p>
    <w:p>
      <w:pPr>
        <w:pStyle w:val="Heading1"/>
      </w:pPr>
      <w:r>
        <w:t>6. 与合成聚合物相比的优势与劣势</w:t>
      </w:r>
    </w:p>
    <w:p>
      <w:pPr>
        <w:pStyle w:val="Heading2"/>
      </w:pPr>
      <w:r>
        <w:t>6.1 优势</w:t>
      </w:r>
    </w:p>
    <w:p>
      <w:pPr>
        <w:jc w:val="both"/>
      </w:pPr>
      <w:r>
        <w:rPr>
          <w:b w:val="0"/>
          <w:i w:val="0"/>
        </w:rPr>
        <w:t>四项优势来自结构，每一项都能回溯到 §3。第一项是可再生原料。这是唯一一项对全部五个家族都一致成立的优势。第二项是在材料容易泄漏到环境中的场景下的可生物降解性，比如地膜、渔具和一次性餐具。这里，容易水解或被酶攻击不再是缺点，而是关键，前提是环境和材料匹配 [51] （§5.4）。第三项是生物相容性和可生物吸收性。这让 PLA 和 PGA 缝合线 [52]，以及胶原蛋白、海藻酸盐和壳聚糖的水凝胶和敷料 [55]，做到了商品化合成聚合物不经昂贵改性就做不到的事。这是唯一一个（§7）生物聚合物是唯一可行材料类别的领域，尽管不是无条件的（§6.3）。第四项是超越力学的功能：手性、pH 响应电荷和序列编码的生物活性，都随生物结构一起免费获得。</w:t>
      </w:r>
    </w:p>
    <w:p>
      <w:pPr>
        <w:pStyle w:val="Heading2"/>
      </w:pPr>
      <w:r>
        <w:t>6.2 劣势</w:t>
      </w:r>
    </w:p>
    <w:p>
      <w:pPr>
        <w:jc w:val="both"/>
      </w:pPr>
      <w:r>
        <w:rPr>
          <w:b w:val="0"/>
          <w:i w:val="0"/>
        </w:rPr>
        <w:t>劣势同样是结构性的。价格上，PLA 通常是通用 PE 和 PP 的数倍，PHA 更贵 [16,53]。耐热上，不经立体复合化的 PLA 热变形温度只有约 55 到 65 °C，远低于 PP 的 100 °C 以上 [13,42]；它的氧气和二氧化碳阻隔与 PET 相当，但水蒸气阻隔更差，淀粉薄膜又更差一层 [14]，所以真正的阻隔弱点是湿度敏感性（§5.3），不是氧气透过。老化让这两点更严重：PHB 通过二次结晶、PLA 通过玻璃化温度以下的物理老化在储存期间脆化 [43]，淀粉性质随湿度漂移，而 PLA 熔融加工前必须干燥，否则分子量会不受控地下降（§4）。</w:t>
      </w:r>
    </w:p>
    <w:p>
      <w:pPr>
        <w:jc w:val="both"/>
      </w:pPr>
      <w:r>
        <w:rPr>
          <w:b w:val="0"/>
          <w:i w:val="0"/>
        </w:rPr>
        <w:t>农业来源还带来石化单体没有的批次波动——海藻酸盐的 M/G 比例、壳聚糖的脱乙酰度、淀粉的直链淀粉含量，以及天然橡胶的无性系和树龄 [19]。与现有回收流的兼容性是又一处局限：一项 2022 年研究发现 PLA 只占 PET 回收流的 0 到 0.019%，被近红外分选控制在大约 1%（会可测地劣化再生 PET）这一水平以下 [15]。这是对分选基础设施的依赖，而非内在的不兼容。</w:t>
      </w:r>
    </w:p>
    <w:p>
      <w:pPr>
        <w:pStyle w:val="Heading2"/>
      </w:pPr>
      <w:r>
        <w:t>6.3 案例研究：天然橡胶和一个合成类似物（SBR）</w:t>
      </w:r>
    </w:p>
    <w:p>
      <w:pPr>
        <w:jc w:val="both"/>
      </w:pPr>
      <w:r>
        <w:rPr>
          <w:b w:val="0"/>
          <w:i w:val="0"/>
        </w:rPr>
        <w:t>NR 和苯乙烯-丁二烯橡胶（SBR）用同样的方式混炼、填充和硫化，也在同样的应用中竞争，比如轮胎胎面、减震和输送带。这使它成为本文中最干净的同应用对比，因为差异可以归因于主链化学，而不是加工。图 6 画出这个差异在链尺度上从哪里开始（应变诱导结晶）。表 4 在五个维度上给两种材料打分 [10,18–32]。</w:t>
      </w:r>
    </w:p>
    <w:p>
      <w:pPr>
        <w:keepNext/>
        <w:spacing w:after="40"/>
        <w:jc w:val="center"/>
      </w:pPr>
      <w:r>
        <w:drawing>
          <wp:inline xmlns:a="http://schemas.openxmlformats.org/drawingml/2006/main" xmlns:pic="http://schemas.openxmlformats.org/drawingml/2006/picture">
            <wp:extent cx="4114800" cy="1548559"/>
            <wp:docPr id="6" name="Picture 6"/>
            <wp:cNvGraphicFramePr>
              <a:graphicFrameLocks noChangeAspect="1"/>
            </wp:cNvGraphicFramePr>
            <a:graphic>
              <a:graphicData uri="http://schemas.openxmlformats.org/drawingml/2006/picture">
                <pic:pic>
                  <pic:nvPicPr>
                    <pic:cNvPr id="0" name="fig8_nr_sbr_comparison.png"/>
                    <pic:cNvPicPr/>
                  </pic:nvPicPr>
                  <pic:blipFill>
                    <a:blip r:embed="rId15"/>
                    <a:stretch>
                      <a:fillRect/>
                    </a:stretch>
                  </pic:blipFill>
                  <pic:spPr>
                    <a:xfrm>
                      <a:off x="0" y="0"/>
                      <a:ext cx="4114800" cy="1548559"/>
                    </a:xfrm>
                    <a:prstGeom prst="rect"/>
                  </pic:spPr>
                </pic:pic>
              </a:graphicData>
            </a:graphic>
          </wp:inline>
        </w:drawing>
      </w:r>
    </w:p>
    <w:p>
      <w:pPr>
        <w:spacing w:line="240" w:lineRule="auto" w:after="80"/>
        <w:jc w:val="center"/>
      </w:pPr>
      <w:r>
        <w:rPr>
          <w:i/>
          <w:sz w:val="20"/>
        </w:rPr>
        <w:t>图 6．NR 和 SBR，作者自绘。(a) NR（顺-1,4-聚异戊二烯）、(b) SBR 的 1,4-丁二烯单元、 (c) SBR 的苯乙烯单元。(d) 在链尺度上，立构规整的 NR 受力时排列成结晶束（应变诱导结晶， X 射线证实），而 SBR 不规则的主链保持无定形。这是表 4"SIC 与抗撕裂性"一行的基础</w:t>
      </w:r>
    </w:p>
    <w:p>
      <w:pPr>
        <w:spacing w:line="240" w:lineRule="auto" w:after="40"/>
      </w:pPr>
      <w:r>
        <w:rPr>
          <w:b/>
          <w:i w:val="0"/>
          <w:sz w:val="20"/>
        </w:rPr>
        <w:t>表 4.</w:t>
      </w:r>
      <w:r>
        <w:rPr>
          <w:b w:val="0"/>
          <w:i w:val="0"/>
          <w:sz w:val="20"/>
        </w:rPr>
        <w:t xml:space="preserve"> NR 与 SBR 在五个维度上的对比。每一项要么是结构性优势，要么取决于配方或场景，要么是有据可查的风险。</w:t>
      </w:r>
    </w:p>
    <w:tbl>
      <w:tblPr>
        <w:tblW w:type="auto" w:w="0"/>
        <w:jc w:val="center"/>
        <w:tblLayout w:type="fixed"/>
        <w:tblLook w:firstColumn="1" w:firstRow="1" w:lastColumn="0" w:lastRow="0" w:noHBand="0" w:noVBand="1" w:val="04A0"/>
        <w:tblLayout w:type="fixed"/>
      </w:tblPr>
      <w:tblGrid>
        <w:gridCol w:w="1618"/>
        <w:gridCol w:w="3389"/>
        <w:gridCol w:w="3919"/>
      </w:tblGrid>
      <w:tr>
        <w:tc>
          <w:tcPr>
            <w:tcW w:type="dxa" w:w="1619"/>
            <w:tcBorders>
              <w:top w:val="single" w:sz="8" w:space="0" w:color="000000"/>
              <w:bottom w:val="single" w:sz="8" w:space="0" w:color="000000"/>
            </w:tcBorders>
          </w:tcPr>
          <w:p>
            <w:pPr>
              <w:spacing w:after="10" w:before="10" w:line="240" w:lineRule="auto"/>
            </w:pPr>
            <w:r>
              <w:rPr>
                <w:rFonts w:ascii="Arial" w:hAnsi="Arial"/>
                <w:b/>
                <w:i w:val="0"/>
                <w:sz w:val="16"/>
              </w:rPr>
              <w:t>维度</w:t>
            </w:r>
          </w:p>
        </w:tc>
        <w:tc>
          <w:tcPr>
            <w:tcW w:type="dxa" w:w="3389"/>
            <w:tcBorders>
              <w:top w:val="single" w:sz="8" w:space="0" w:color="000000"/>
              <w:bottom w:val="single" w:sz="8" w:space="0" w:color="000000"/>
            </w:tcBorders>
          </w:tcPr>
          <w:p>
            <w:pPr>
              <w:spacing w:after="10" w:before="10" w:line="240" w:lineRule="auto"/>
            </w:pPr>
            <w:r>
              <w:rPr>
                <w:rFonts w:ascii="Arial" w:hAnsi="Arial"/>
                <w:b/>
                <w:i w:val="0"/>
                <w:sz w:val="16"/>
              </w:rPr>
              <w:t>天然橡胶（NR）</w:t>
            </w:r>
          </w:p>
        </w:tc>
        <w:tc>
          <w:tcPr>
            <w:tcW w:type="dxa" w:w="3920"/>
            <w:tcBorders>
              <w:top w:val="single" w:sz="8" w:space="0" w:color="000000"/>
              <w:bottom w:val="single" w:sz="8" w:space="0" w:color="000000"/>
            </w:tcBorders>
          </w:tcPr>
          <w:p>
            <w:pPr>
              <w:spacing w:after="10" w:before="10" w:line="240" w:lineRule="auto"/>
            </w:pPr>
            <w:r>
              <w:rPr>
                <w:rFonts w:ascii="Arial" w:hAnsi="Arial"/>
                <w:b/>
                <w:i w:val="0"/>
                <w:sz w:val="16"/>
              </w:rPr>
              <w:t>SBR</w:t>
            </w:r>
          </w:p>
        </w:tc>
      </w:tr>
      <w:tr>
        <w:tc>
          <w:tcPr>
            <w:tcW w:type="dxa" w:w="1619"/>
            <w:tcBorders>
              <w:top w:val="nil"/>
              <w:bottom w:val="nil"/>
            </w:tcBorders>
          </w:tcPr>
          <w:p>
            <w:pPr>
              <w:spacing w:after="10" w:before="10" w:line="240" w:lineRule="auto"/>
            </w:pPr>
            <w:r>
              <w:rPr>
                <w:rFonts w:ascii="Arial" w:hAnsi="Arial"/>
                <w:b w:val="0"/>
                <w:i w:val="0"/>
                <w:sz w:val="16"/>
              </w:rPr>
              <w:t>结构/分子量控制</w:t>
            </w:r>
          </w:p>
        </w:tc>
        <w:tc>
          <w:tcPr>
            <w:tcW w:type="dxa" w:w="3389"/>
            <w:tcBorders>
              <w:top w:val="nil"/>
              <w:bottom w:val="nil"/>
            </w:tcBorders>
          </w:tcPr>
          <w:p>
            <w:pPr>
              <w:spacing w:after="10" w:before="10" w:line="240" w:lineRule="auto"/>
            </w:pPr>
            <w:r>
              <w:rPr>
                <w:rFonts w:ascii="Arial" w:hAnsi="Arial"/>
                <w:b w:val="0"/>
                <w:i w:val="0"/>
                <w:sz w:val="16"/>
              </w:rPr>
              <w:t>采收而来，随无性系与树龄变化 [19]</w:t>
            </w:r>
          </w:p>
        </w:tc>
        <w:tc>
          <w:tcPr>
            <w:tcW w:type="dxa" w:w="3920"/>
            <w:tcBorders>
              <w:top w:val="nil"/>
              <w:bottom w:val="nil"/>
            </w:tcBorders>
          </w:tcPr>
          <w:p>
            <w:pPr>
              <w:spacing w:after="10" w:before="10" w:line="240" w:lineRule="auto"/>
            </w:pPr>
            <w:r>
              <w:rPr>
                <w:rFonts w:ascii="Arial" w:hAnsi="Arial"/>
                <w:b w:val="0"/>
                <w:i w:val="0"/>
                <w:sz w:val="16"/>
              </w:rPr>
              <w:t>乳液/溶液共聚工程化设定 [20,21]</w:t>
            </w:r>
          </w:p>
        </w:tc>
      </w:tr>
      <w:tr>
        <w:tc>
          <w:tcPr>
            <w:tcW w:type="dxa" w:w="1619"/>
            <w:tcBorders>
              <w:top w:val="nil"/>
              <w:bottom w:val="nil"/>
            </w:tcBorders>
          </w:tcPr>
          <w:p>
            <w:pPr>
              <w:spacing w:after="10" w:before="10" w:line="240" w:lineRule="auto"/>
            </w:pPr>
            <w:r>
              <w:rPr>
                <w:rFonts w:ascii="Arial" w:hAnsi="Arial"/>
                <w:b w:val="0"/>
                <w:i w:val="0"/>
                <w:sz w:val="16"/>
              </w:rPr>
              <w:t>SIC 与抗撕裂性</w:t>
            </w:r>
          </w:p>
        </w:tc>
        <w:tc>
          <w:tcPr>
            <w:tcW w:type="dxa" w:w="3389"/>
            <w:tcBorders>
              <w:top w:val="nil"/>
              <w:bottom w:val="nil"/>
            </w:tcBorders>
          </w:tcPr>
          <w:p>
            <w:pPr>
              <w:spacing w:after="10" w:before="10" w:line="240" w:lineRule="auto"/>
            </w:pPr>
            <w:r>
              <w:rPr>
                <w:rFonts w:ascii="Arial" w:hAnsi="Arial"/>
                <w:b w:val="0"/>
                <w:i w:val="0"/>
                <w:sz w:val="16"/>
              </w:rPr>
              <w:t>结构性优势：应变诱导结晶显著 [10,23]；共混中随 SBR 比例上升而减弱 [22]</w:t>
            </w:r>
          </w:p>
        </w:tc>
        <w:tc>
          <w:tcPr>
            <w:tcW w:type="dxa" w:w="3920"/>
            <w:tcBorders>
              <w:top w:val="nil"/>
              <w:bottom w:val="nil"/>
            </w:tcBorders>
          </w:tcPr>
          <w:p>
            <w:pPr>
              <w:spacing w:after="10" w:before="10" w:line="240" w:lineRule="auto"/>
            </w:pPr>
            <w:r>
              <w:rPr>
                <w:rFonts w:ascii="Arial" w:hAnsi="Arial"/>
                <w:b w:val="0"/>
                <w:i w:val="0"/>
                <w:sz w:val="16"/>
              </w:rPr>
              <w:t>结晶远弱，靠补强和硫化设计而非主链达到相当水平 [24–26]</w:t>
            </w:r>
          </w:p>
        </w:tc>
      </w:tr>
      <w:tr>
        <w:tc>
          <w:tcPr>
            <w:tcW w:type="dxa" w:w="1619"/>
            <w:tcBorders>
              <w:top w:val="nil"/>
              <w:bottom w:val="nil"/>
            </w:tcBorders>
          </w:tcPr>
          <w:p>
            <w:pPr>
              <w:spacing w:after="10" w:before="10" w:line="240" w:lineRule="auto"/>
            </w:pPr>
            <w:r>
              <w:rPr>
                <w:rFonts w:ascii="Arial" w:hAnsi="Arial"/>
                <w:b w:val="0"/>
                <w:i w:val="0"/>
                <w:sz w:val="16"/>
              </w:rPr>
              <w:t>生物相容性</w:t>
            </w:r>
          </w:p>
        </w:tc>
        <w:tc>
          <w:tcPr>
            <w:tcW w:type="dxa" w:w="3389"/>
            <w:tcBorders>
              <w:top w:val="nil"/>
              <w:bottom w:val="nil"/>
            </w:tcBorders>
          </w:tcPr>
          <w:p>
            <w:pPr>
              <w:spacing w:after="10" w:before="10" w:line="240" w:lineRule="auto"/>
            </w:pPr>
            <w:r>
              <w:rPr>
                <w:rFonts w:ascii="Arial" w:hAnsi="Arial"/>
                <w:b w:val="0"/>
                <w:i w:val="0"/>
                <w:sz w:val="16"/>
              </w:rPr>
              <w:t>有潜力，但乳胶蛋白过敏是真实风险 [27,28]</w:t>
            </w:r>
          </w:p>
        </w:tc>
        <w:tc>
          <w:tcPr>
            <w:tcW w:type="dxa" w:w="3920"/>
            <w:tcBorders>
              <w:top w:val="nil"/>
              <w:bottom w:val="nil"/>
            </w:tcBorders>
          </w:tcPr>
          <w:p>
            <w:pPr>
              <w:spacing w:after="10" w:before="10" w:line="240" w:lineRule="auto"/>
            </w:pPr>
            <w:r>
              <w:rPr>
                <w:rFonts w:ascii="Arial" w:hAnsi="Arial"/>
                <w:b w:val="0"/>
                <w:i w:val="0"/>
                <w:sz w:val="16"/>
              </w:rPr>
              <w:t>不具备无条件的生物相容性 [27,28]</w:t>
            </w:r>
          </w:p>
        </w:tc>
      </w:tr>
      <w:tr>
        <w:tc>
          <w:tcPr>
            <w:tcW w:type="dxa" w:w="1619"/>
            <w:tcBorders>
              <w:top w:val="nil"/>
              <w:bottom w:val="nil"/>
            </w:tcBorders>
          </w:tcPr>
          <w:p>
            <w:pPr>
              <w:spacing w:after="10" w:before="10" w:line="240" w:lineRule="auto"/>
            </w:pPr>
            <w:r>
              <w:rPr>
                <w:rFonts w:ascii="Arial" w:hAnsi="Arial"/>
                <w:b w:val="0"/>
                <w:i w:val="0"/>
                <w:sz w:val="16"/>
              </w:rPr>
              <w:t>环境足迹</w:t>
            </w:r>
          </w:p>
        </w:tc>
        <w:tc>
          <w:tcPr>
            <w:tcW w:type="dxa" w:w="3389"/>
            <w:tcBorders>
              <w:top w:val="nil"/>
              <w:bottom w:val="nil"/>
            </w:tcBorders>
          </w:tcPr>
          <w:p>
            <w:pPr>
              <w:spacing w:after="10" w:before="10" w:line="240" w:lineRule="auto"/>
            </w:pPr>
            <w:r>
              <w:rPr>
                <w:rFonts w:ascii="Arial" w:hAnsi="Arial"/>
                <w:b w:val="0"/>
                <w:i w:val="0"/>
                <w:sz w:val="16"/>
              </w:rPr>
              <w:t>可再生，但 LCA 显示真实的土地/能耗成本 [29,30]</w:t>
            </w:r>
          </w:p>
        </w:tc>
        <w:tc>
          <w:tcPr>
            <w:tcW w:type="dxa" w:w="3920"/>
            <w:tcBorders>
              <w:top w:val="nil"/>
              <w:bottom w:val="nil"/>
            </w:tcBorders>
          </w:tcPr>
          <w:p>
            <w:pPr>
              <w:spacing w:after="10" w:before="10" w:line="240" w:lineRule="auto"/>
            </w:pPr>
            <w:r>
              <w:rPr>
                <w:rFonts w:ascii="Arial" w:hAnsi="Arial"/>
                <w:b w:val="0"/>
                <w:i w:val="0"/>
                <w:sz w:val="16"/>
              </w:rPr>
              <w:t>石化原料；可降解牌号正在出现 [31]</w:t>
            </w:r>
          </w:p>
        </w:tc>
      </w:tr>
      <w:tr>
        <w:tc>
          <w:tcPr>
            <w:tcW w:type="dxa" w:w="1619"/>
            <w:tcBorders>
              <w:top w:val="nil"/>
              <w:bottom w:val="single" w:sz="8" w:space="0" w:color="000000"/>
            </w:tcBorders>
          </w:tcPr>
          <w:p>
            <w:pPr>
              <w:spacing w:after="10" w:before="10" w:line="240" w:lineRule="auto"/>
            </w:pPr>
            <w:r>
              <w:rPr>
                <w:rFonts w:ascii="Arial" w:hAnsi="Arial"/>
                <w:b w:val="0"/>
                <w:i w:val="0"/>
                <w:sz w:val="16"/>
              </w:rPr>
              <w:t>价格稳定性</w:t>
            </w:r>
          </w:p>
        </w:tc>
        <w:tc>
          <w:tcPr>
            <w:tcW w:type="dxa" w:w="3389"/>
            <w:tcBorders>
              <w:top w:val="nil"/>
              <w:bottom w:val="single" w:sz="8" w:space="0" w:color="000000"/>
            </w:tcBorders>
          </w:tcPr>
          <w:p>
            <w:pPr>
              <w:spacing w:after="10" w:before="10" w:line="240" w:lineRule="auto"/>
            </w:pPr>
            <w:r>
              <w:rPr>
                <w:rFonts w:ascii="Arial" w:hAnsi="Arial"/>
                <w:b w:val="0"/>
                <w:i w:val="0"/>
                <w:sz w:val="16"/>
              </w:rPr>
              <w:t>历来是两者中波动更大的一个 [32]</w:t>
            </w:r>
          </w:p>
        </w:tc>
        <w:tc>
          <w:tcPr>
            <w:tcW w:type="dxa" w:w="3920"/>
            <w:tcBorders>
              <w:top w:val="nil"/>
              <w:bottom w:val="single" w:sz="8" w:space="0" w:color="000000"/>
            </w:tcBorders>
          </w:tcPr>
          <w:p>
            <w:pPr>
              <w:spacing w:after="10" w:before="10" w:line="240" w:lineRule="auto"/>
            </w:pPr>
            <w:r>
              <w:rPr>
                <w:rFonts w:ascii="Arial" w:hAnsi="Arial"/>
                <w:b w:val="0"/>
                <w:i w:val="0"/>
                <w:sz w:val="16"/>
              </w:rPr>
              <w:t>更稳定，但与石化供应链绑定 [32]</w:t>
            </w:r>
          </w:p>
        </w:tc>
      </w:tr>
    </w:tbl>
    <w:p>
      <w:pPr>
        <w:spacing w:after="0" w:line="240" w:lineRule="auto"/>
      </w:pPr>
    </w:p>
    <w:p>
      <w:pPr>
        <w:jc w:val="both"/>
      </w:pPr>
      <w:r>
        <w:rPr>
          <w:b w:val="0"/>
          <w:i w:val="0"/>
        </w:rPr>
        <w:t>在配方相匹配的条件下，NR 的 SIC 一开始就给它更强的撕裂强度和抗裂纹扩展能力 [10,23]。SBR 随后靠补强和硫化设计达到相当的耐磨性 [24]。这是本文中主链化学与配方相互权衡最清楚的一个例子。"天然更好"的叙事经不起文献的检验。NR 乳胶有一个 SBR 没有的真实过敏风险 [27,28]。可再生不会自动意味着更低的生命周期足迹 [29,30]。而且 NR 的定价历来是两者中波动更大的一个，原因在气候和病害，和聚合物化学无关 [32]。</w:t>
      </w:r>
    </w:p>
    <w:p>
      <w:pPr>
        <w:pStyle w:val="Heading1"/>
      </w:pPr>
      <w:r>
        <w:t>7. 应用</w:t>
      </w:r>
    </w:p>
    <w:p>
      <w:pPr>
        <w:jc w:val="both"/>
      </w:pPr>
      <w:r>
        <w:rPr>
          <w:b w:val="0"/>
          <w:i w:val="0"/>
        </w:rPr>
        <w:t>表 5 按每类应用所需的性质列出应用，再列出满足它的材料（§3 给了每种材料的用途）。有两个规律突出。包装需要同时满足氧气和水的阻隔、韧性，以及高于 PLA 热变形温度的耐热性（§6.2）。没有哪一种单一生物聚合物能同时给出这三项（§5.3），所以包装几乎总是多层或共混结构。生物医用是唯一一个生物聚合物接近独占的领域，因为它们把生物相容性和一个可调的降解速率结合在一起（§5.4）。即便在这里，PGA 和 PLGA 缝合线仍主要通过酸性水解产物导致的局部 pH 下降而失效 [52,53]，而胶原蛋白、海藻酸盐和壳聚糖把同样的逻辑带到支架和生物打印 [55]。</w:t>
      </w:r>
    </w:p>
    <w:p>
      <w:pPr>
        <w:spacing w:line="240" w:lineRule="auto" w:after="40"/>
      </w:pPr>
      <w:r>
        <w:rPr>
          <w:b/>
          <w:i w:val="0"/>
          <w:sz w:val="20"/>
        </w:rPr>
        <w:t>表 5.</w:t>
      </w:r>
      <w:r>
        <w:rPr>
          <w:b w:val="0"/>
          <w:i w:val="0"/>
          <w:sz w:val="20"/>
        </w:rPr>
        <w:t xml:space="preserve"> 应用、所需关键性质及代表材料。</w:t>
      </w:r>
    </w:p>
    <w:tbl>
      <w:tblPr>
        <w:tblW w:type="auto" w:w="0"/>
        <w:jc w:val="center"/>
        <w:tblLayout w:type="fixed"/>
        <w:tblLook w:firstColumn="1" w:firstRow="1" w:lastColumn="0" w:lastRow="0" w:noHBand="0" w:noVBand="1" w:val="04A0"/>
        <w:tblLayout w:type="fixed"/>
      </w:tblPr>
      <w:tblGrid>
        <w:gridCol w:w="1971"/>
        <w:gridCol w:w="3445"/>
        <w:gridCol w:w="3511"/>
      </w:tblGrid>
      <w:tr>
        <w:tc>
          <w:tcPr>
            <w:tcW w:type="dxa" w:w="1971"/>
            <w:tcBorders>
              <w:top w:val="single" w:sz="8" w:space="0" w:color="000000"/>
              <w:bottom w:val="single" w:sz="8" w:space="0" w:color="000000"/>
            </w:tcBorders>
          </w:tcPr>
          <w:p>
            <w:pPr>
              <w:spacing w:after="10" w:before="10" w:line="240" w:lineRule="auto"/>
            </w:pPr>
            <w:r>
              <w:rPr>
                <w:rFonts w:ascii="Arial" w:hAnsi="Arial"/>
                <w:b/>
                <w:i w:val="0"/>
                <w:sz w:val="16"/>
              </w:rPr>
              <w:t>应用</w:t>
            </w:r>
          </w:p>
        </w:tc>
        <w:tc>
          <w:tcPr>
            <w:tcW w:type="dxa" w:w="3445"/>
            <w:tcBorders>
              <w:top w:val="single" w:sz="8" w:space="0" w:color="000000"/>
              <w:bottom w:val="single" w:sz="8" w:space="0" w:color="000000"/>
            </w:tcBorders>
          </w:tcPr>
          <w:p>
            <w:pPr>
              <w:spacing w:after="10" w:before="10" w:line="240" w:lineRule="auto"/>
            </w:pPr>
            <w:r>
              <w:rPr>
                <w:rFonts w:ascii="Arial" w:hAnsi="Arial"/>
                <w:b/>
                <w:i w:val="0"/>
                <w:sz w:val="16"/>
              </w:rPr>
              <w:t>所需关键性质</w:t>
            </w:r>
          </w:p>
        </w:tc>
        <w:tc>
          <w:tcPr>
            <w:tcW w:type="dxa" w:w="3511"/>
            <w:tcBorders>
              <w:top w:val="single" w:sz="8" w:space="0" w:color="000000"/>
              <w:bottom w:val="single" w:sz="8" w:space="0" w:color="000000"/>
            </w:tcBorders>
          </w:tcPr>
          <w:p>
            <w:pPr>
              <w:spacing w:after="10" w:before="10" w:line="240" w:lineRule="auto"/>
            </w:pPr>
            <w:r>
              <w:rPr>
                <w:rFonts w:ascii="Arial" w:hAnsi="Arial"/>
                <w:b/>
                <w:i w:val="0"/>
                <w:sz w:val="16"/>
              </w:rPr>
              <w:t>代表材料</w:t>
            </w:r>
          </w:p>
        </w:tc>
      </w:tr>
      <w:tr>
        <w:tc>
          <w:tcPr>
            <w:tcW w:type="dxa" w:w="1971"/>
            <w:tcBorders>
              <w:top w:val="nil"/>
              <w:bottom w:val="nil"/>
            </w:tcBorders>
          </w:tcPr>
          <w:p>
            <w:pPr>
              <w:spacing w:after="10" w:before="10" w:line="240" w:lineRule="auto"/>
            </w:pPr>
            <w:r>
              <w:rPr>
                <w:rFonts w:ascii="Arial" w:hAnsi="Arial"/>
                <w:b w:val="0"/>
                <w:i w:val="0"/>
                <w:sz w:val="16"/>
              </w:rPr>
              <w:t>食品包装</w:t>
            </w:r>
          </w:p>
        </w:tc>
        <w:tc>
          <w:tcPr>
            <w:tcW w:type="dxa" w:w="3445"/>
            <w:tcBorders>
              <w:top w:val="nil"/>
              <w:bottom w:val="nil"/>
            </w:tcBorders>
          </w:tcPr>
          <w:p>
            <w:pPr>
              <w:spacing w:after="10" w:before="10" w:line="240" w:lineRule="auto"/>
            </w:pPr>
            <w:r>
              <w:rPr>
                <w:rFonts w:ascii="Arial" w:hAnsi="Arial"/>
                <w:b w:val="0"/>
                <w:i w:val="0"/>
                <w:sz w:val="16"/>
              </w:rPr>
              <w:t>O₂/H₂O 阻隔 + 韧性 + 适度耐热性</w:t>
            </w:r>
          </w:p>
        </w:tc>
        <w:tc>
          <w:tcPr>
            <w:tcW w:type="dxa" w:w="3511"/>
            <w:tcBorders>
              <w:top w:val="nil"/>
              <w:bottom w:val="nil"/>
            </w:tcBorders>
          </w:tcPr>
          <w:p>
            <w:pPr>
              <w:spacing w:after="10" w:before="10" w:line="240" w:lineRule="auto"/>
            </w:pPr>
            <w:r>
              <w:rPr>
                <w:rFonts w:ascii="Arial" w:hAnsi="Arial"/>
                <w:b w:val="0"/>
                <w:i w:val="0"/>
                <w:sz w:val="16"/>
              </w:rPr>
              <w:t>PLA/PBAT 共混；PHA/PLA 涂层</w:t>
            </w:r>
          </w:p>
        </w:tc>
      </w:tr>
      <w:tr>
        <w:tc>
          <w:tcPr>
            <w:tcW w:type="dxa" w:w="1971"/>
            <w:tcBorders>
              <w:top w:val="nil"/>
              <w:bottom w:val="nil"/>
            </w:tcBorders>
          </w:tcPr>
          <w:p>
            <w:pPr>
              <w:spacing w:after="10" w:before="10" w:line="240" w:lineRule="auto"/>
            </w:pPr>
            <w:r>
              <w:rPr>
                <w:rFonts w:ascii="Arial" w:hAnsi="Arial"/>
                <w:b w:val="0"/>
                <w:i w:val="0"/>
                <w:sz w:val="16"/>
              </w:rPr>
              <w:t>可堆肥餐具/地膜</w:t>
            </w:r>
          </w:p>
        </w:tc>
        <w:tc>
          <w:tcPr>
            <w:tcW w:type="dxa" w:w="3445"/>
            <w:tcBorders>
              <w:top w:val="nil"/>
              <w:bottom w:val="nil"/>
            </w:tcBorders>
          </w:tcPr>
          <w:p>
            <w:pPr>
              <w:spacing w:after="10" w:before="10" w:line="240" w:lineRule="auto"/>
            </w:pPr>
            <w:r>
              <w:rPr>
                <w:rFonts w:ascii="Arial" w:hAnsi="Arial"/>
                <w:b w:val="0"/>
                <w:i w:val="0"/>
                <w:sz w:val="16"/>
              </w:rPr>
              <w:t>生物降解性与使用时间尺度匹配，而非阻隔性能</w:t>
            </w:r>
          </w:p>
        </w:tc>
        <w:tc>
          <w:tcPr>
            <w:tcW w:type="dxa" w:w="3511"/>
            <w:tcBorders>
              <w:top w:val="nil"/>
              <w:bottom w:val="nil"/>
            </w:tcBorders>
          </w:tcPr>
          <w:p>
            <w:pPr>
              <w:spacing w:after="10" w:before="10" w:line="240" w:lineRule="auto"/>
            </w:pPr>
            <w:r>
              <w:rPr>
                <w:rFonts w:ascii="Arial" w:hAnsi="Arial"/>
                <w:b w:val="0"/>
                <w:i w:val="0"/>
                <w:sz w:val="16"/>
              </w:rPr>
              <w:t>PLA、淀粉共混、PBAT/PLA</w:t>
            </w:r>
          </w:p>
        </w:tc>
      </w:tr>
      <w:tr>
        <w:tc>
          <w:tcPr>
            <w:tcW w:type="dxa" w:w="1971"/>
            <w:tcBorders>
              <w:top w:val="nil"/>
              <w:bottom w:val="nil"/>
            </w:tcBorders>
          </w:tcPr>
          <w:p>
            <w:pPr>
              <w:spacing w:after="10" w:before="10" w:line="240" w:lineRule="auto"/>
            </w:pPr>
            <w:r>
              <w:rPr>
                <w:rFonts w:ascii="Arial" w:hAnsi="Arial"/>
                <w:b w:val="0"/>
                <w:i w:val="0"/>
                <w:sz w:val="16"/>
              </w:rPr>
              <w:t>缝合线/药物释放/支架</w:t>
            </w:r>
          </w:p>
        </w:tc>
        <w:tc>
          <w:tcPr>
            <w:tcW w:type="dxa" w:w="3445"/>
            <w:tcBorders>
              <w:top w:val="nil"/>
              <w:bottom w:val="nil"/>
            </w:tcBorders>
          </w:tcPr>
          <w:p>
            <w:pPr>
              <w:spacing w:after="10" w:before="10" w:line="240" w:lineRule="auto"/>
            </w:pPr>
            <w:r>
              <w:rPr>
                <w:rFonts w:ascii="Arial" w:hAnsi="Arial"/>
                <w:b w:val="0"/>
                <w:i w:val="0"/>
                <w:sz w:val="16"/>
              </w:rPr>
              <w:t>生物相容性 + 可调降解速率</w:t>
            </w:r>
          </w:p>
        </w:tc>
        <w:tc>
          <w:tcPr>
            <w:tcW w:type="dxa" w:w="3511"/>
            <w:tcBorders>
              <w:top w:val="nil"/>
              <w:bottom w:val="nil"/>
            </w:tcBorders>
          </w:tcPr>
          <w:p>
            <w:pPr>
              <w:spacing w:after="10" w:before="10" w:line="240" w:lineRule="auto"/>
            </w:pPr>
            <w:r>
              <w:rPr>
                <w:rFonts w:ascii="Arial" w:hAnsi="Arial"/>
                <w:b w:val="0"/>
                <w:i w:val="0"/>
                <w:sz w:val="16"/>
              </w:rPr>
              <w:t>PGA、PLGA、胶原蛋白、海藻酸盐、壳聚糖</w:t>
            </w:r>
          </w:p>
        </w:tc>
      </w:tr>
      <w:tr>
        <w:tc>
          <w:tcPr>
            <w:tcW w:type="dxa" w:w="1971"/>
            <w:tcBorders>
              <w:top w:val="nil"/>
              <w:bottom w:val="nil"/>
            </w:tcBorders>
          </w:tcPr>
          <w:p>
            <w:pPr>
              <w:spacing w:after="10" w:before="10" w:line="240" w:lineRule="auto"/>
            </w:pPr>
            <w:r>
              <w:rPr>
                <w:rFonts w:ascii="Arial" w:hAnsi="Arial"/>
                <w:b w:val="0"/>
                <w:i w:val="0"/>
                <w:sz w:val="16"/>
              </w:rPr>
              <w:t>纺织纤维/电子基板</w:t>
            </w:r>
          </w:p>
        </w:tc>
        <w:tc>
          <w:tcPr>
            <w:tcW w:type="dxa" w:w="3445"/>
            <w:tcBorders>
              <w:top w:val="nil"/>
              <w:bottom w:val="nil"/>
            </w:tcBorders>
          </w:tcPr>
          <w:p>
            <w:pPr>
              <w:spacing w:after="10" w:before="10" w:line="240" w:lineRule="auto"/>
            </w:pPr>
            <w:r>
              <w:rPr>
                <w:rFonts w:ascii="Arial" w:hAnsi="Arial"/>
                <w:b w:val="0"/>
                <w:i w:val="0"/>
                <w:sz w:val="16"/>
              </w:rPr>
              <w:t>高刚性/可纺性或成膜性</w:t>
            </w:r>
          </w:p>
        </w:tc>
        <w:tc>
          <w:tcPr>
            <w:tcW w:type="dxa" w:w="3511"/>
            <w:tcBorders>
              <w:top w:val="nil"/>
              <w:bottom w:val="nil"/>
            </w:tcBorders>
          </w:tcPr>
          <w:p>
            <w:pPr>
              <w:spacing w:after="10" w:before="10" w:line="240" w:lineRule="auto"/>
            </w:pPr>
            <w:r>
              <w:rPr>
                <w:rFonts w:ascii="Arial" w:hAnsi="Arial"/>
                <w:b w:val="0"/>
                <w:i w:val="0"/>
                <w:sz w:val="16"/>
              </w:rPr>
              <w:t>Lyocell、PLA 纤维、PHA</w:t>
            </w:r>
          </w:p>
        </w:tc>
      </w:tr>
      <w:tr>
        <w:tc>
          <w:tcPr>
            <w:tcW w:type="dxa" w:w="1971"/>
            <w:tcBorders>
              <w:top w:val="nil"/>
              <w:bottom w:val="single" w:sz="8" w:space="0" w:color="000000"/>
            </w:tcBorders>
          </w:tcPr>
          <w:p>
            <w:pPr>
              <w:spacing w:after="10" w:before="10" w:line="240" w:lineRule="auto"/>
            </w:pPr>
            <w:r>
              <w:rPr>
                <w:rFonts w:ascii="Arial" w:hAnsi="Arial"/>
                <w:b w:val="0"/>
                <w:i w:val="0"/>
                <w:sz w:val="16"/>
              </w:rPr>
              <w:t>轮胎胎面/减震/输送带</w:t>
            </w:r>
          </w:p>
        </w:tc>
        <w:tc>
          <w:tcPr>
            <w:tcW w:type="dxa" w:w="3445"/>
            <w:tcBorders>
              <w:top w:val="nil"/>
              <w:bottom w:val="single" w:sz="8" w:space="0" w:color="000000"/>
            </w:tcBorders>
          </w:tcPr>
          <w:p>
            <w:pPr>
              <w:spacing w:after="10" w:before="10" w:line="240" w:lineRule="auto"/>
            </w:pPr>
            <w:r>
              <w:rPr>
                <w:rFonts w:ascii="Arial" w:hAnsi="Arial"/>
                <w:b w:val="0"/>
                <w:i w:val="0"/>
                <w:sz w:val="16"/>
              </w:rPr>
              <w:t>通过 SIC 获得高拉伸/撕裂强度，或工程化耐磨</w:t>
            </w:r>
          </w:p>
        </w:tc>
        <w:tc>
          <w:tcPr>
            <w:tcW w:type="dxa" w:w="3511"/>
            <w:tcBorders>
              <w:top w:val="nil"/>
              <w:bottom w:val="single" w:sz="8" w:space="0" w:color="000000"/>
            </w:tcBorders>
          </w:tcPr>
          <w:p>
            <w:pPr>
              <w:spacing w:after="10" w:before="10" w:line="240" w:lineRule="auto"/>
            </w:pPr>
            <w:r>
              <w:rPr>
                <w:rFonts w:ascii="Arial" w:hAnsi="Arial"/>
                <w:b w:val="0"/>
                <w:i w:val="0"/>
                <w:sz w:val="16"/>
              </w:rPr>
              <w:t>天然橡胶、NR/SBR 共混（§6.3）</w:t>
            </w:r>
          </w:p>
        </w:tc>
      </w:tr>
    </w:tbl>
    <w:p>
      <w:pPr>
        <w:spacing w:after="0" w:line="240" w:lineRule="auto"/>
      </w:pPr>
    </w:p>
    <w:p>
      <w:pPr>
        <w:pStyle w:val="Heading1"/>
      </w:pPr>
      <w:r>
        <w:t>8. 结论</w:t>
      </w:r>
    </w:p>
    <w:p>
      <w:pPr>
        <w:jc w:val="both"/>
      </w:pPr>
      <w:r>
        <w:rPr>
          <w:b w:val="0"/>
          <w:i w:val="0"/>
        </w:rPr>
        <w:t>由此得出三条判断。第一，性能上限是热学的和吸湿的（§5.1、§5.3），不是力学的。大多数家族在刚性上达到甚至超过合成聚合物，真正失分的是加工窗口和湿度。第二，结晶度支配整套权衡（§5.4）。它提供刚性、把水挡在外面、也把会降解材料的攻击挡在外面，所以提高其中一项就会压低另外两项。NR 和 SBR 的案例研究（§6.3）通过配方本身达到同样的权衡。第三，一个分子量数据离开测定方法就没有意义（§4）。让分子量难以测定的那些特征，正是解释性能的同一批特征。</w:t>
      </w:r>
    </w:p>
    <w:p>
      <w:pPr>
        <w:jc w:val="both"/>
      </w:pPr>
      <w:r>
        <w:rPr>
          <w:b w:val="0"/>
          <w:i w:val="0"/>
        </w:rPr>
        <w:t>生物基塑料在 2025 年的产能约为 231 万吨，约占全球塑料的 0.5% [16]。扩大规模本身解决不了加工窗口、湿度敏感性和批次变异性；较近的应对路线是酶促解聚回单体 [17]，以及数据驱动的性质预测 [56]。</w:t>
      </w:r>
    </w:p>
    <w:p>
      <w:pPr>
        <w:pStyle w:val="Heading1"/>
      </w:pPr>
      <w:r>
        <w:t>参考文献 *(共 60 条，DOI 均经 Crossref 核对)*</w:t>
      </w:r>
    </w:p>
    <w:p>
      <w:pPr>
        <w:jc w:val="both"/>
      </w:pPr>
      <w:r>
        <w:rPr>
          <w:b w:val="0"/>
          <w:i w:val="0"/>
        </w:rPr>
        <w:t xml:space="preserve">参考文献著录格式保留英文原文（作者、期刊名、DOI 均为国际通行著录信息，翻译反而会造成检索困难），完整列表见 </w:t>
      </w:r>
      <w:r>
        <w:rPr>
          <w:rFonts w:ascii="Consolas" w:hAnsi="Consolas"/>
          <w:i/>
        </w:rPr>
        <w:t>report.md</w:t>
      </w:r>
      <w:r>
        <w:rPr>
          <w:b w:val="0"/>
          <w:i w:val="0"/>
        </w:rPr>
        <w:t>。</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40"/>
    </w:pPr>
    <w:rPr>
      <w:rFonts w:ascii="Times New Roman" w:hAnsi="Times New Roma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val="0"/>
      <w:widowControl/>
      <w:spacing w:before="120" w:after="40" w:line="240" w:lineRule="auto"/>
      <w:outlineLvl w:val="0"/>
    </w:pPr>
    <w:rPr>
      <w:rFonts w:asciiTheme="majorHAnsi" w:eastAsiaTheme="majorEastAsia" w:hAnsiTheme="majorHAnsi" w:cstheme="majorBidi" w:ascii="Times New Roman" w:hAnsi="Times New Roman" w:eastAsia="SimSun"/>
      <w:b/>
      <w:bCs/>
      <w:sz w:val="26"/>
      <w:szCs w:val="28"/>
    </w:rPr>
  </w:style>
  <w:style w:type="paragraph" w:styleId="Heading2">
    <w:name w:val="heading 2"/>
    <w:basedOn w:val="Normal"/>
    <w:next w:val="Normal"/>
    <w:link w:val="Heading2Char"/>
    <w:uiPriority w:val="9"/>
    <w:unhideWhenUsed/>
    <w:qFormat/>
    <w:rsid w:val="00FC693F"/>
    <w:pPr>
      <w:keepNext w:val="0"/>
      <w:keepLines w:val="0"/>
      <w:widowControl/>
      <w:spacing w:before="120" w:after="40" w:line="240" w:lineRule="auto"/>
      <w:outlineLvl w:val="1"/>
    </w:pPr>
    <w:rPr>
      <w:rFonts w:asciiTheme="majorHAnsi" w:eastAsiaTheme="majorEastAsia" w:hAnsiTheme="majorHAnsi" w:cstheme="majorBidi" w:ascii="Times New Roman" w:hAnsi="Times New Roman" w:eastAsia="SimSun"/>
      <w:b/>
      <w:bCs/>
      <w:sz w:val="24"/>
      <w:szCs w:val="26"/>
    </w:rPr>
  </w:style>
  <w:style w:type="paragraph" w:styleId="Heading3">
    <w:name w:val="heading 3"/>
    <w:basedOn w:val="Normal"/>
    <w:next w:val="Normal"/>
    <w:link w:val="Heading3Char"/>
    <w:uiPriority w:val="9"/>
    <w:unhideWhenUsed/>
    <w:qFormat/>
    <w:rsid w:val="00FC693F"/>
    <w:pPr>
      <w:keepNext w:val="0"/>
      <w:keepLines w:val="0"/>
      <w:widowControl/>
      <w:spacing w:before="120" w:after="40" w:line="240" w:lineRule="auto"/>
      <w:outlineLvl w:val="2"/>
    </w:pPr>
    <w:rPr>
      <w:rFonts w:asciiTheme="majorHAnsi" w:eastAsiaTheme="majorEastAsia" w:hAnsiTheme="majorHAnsi" w:cstheme="majorBidi" w:ascii="Times New Roman" w:hAnsi="Times New Roman" w:eastAsia="SimSun"/>
      <w:b/>
      <w:bCs/>
      <w:sz w:val="22"/>
    </w:rPr>
  </w:style>
  <w:style w:type="paragraph" w:styleId="Heading4">
    <w:name w:val="heading 4"/>
    <w:basedOn w:val="Normal"/>
    <w:next w:val="Normal"/>
    <w:link w:val="Heading4Char"/>
    <w:uiPriority w:val="9"/>
    <w:semiHidden/>
    <w:unhideWhenUsed/>
    <w:qFormat/>
    <w:rsid w:val="00FC693F"/>
    <w:pPr>
      <w:keepNext w:val="0"/>
      <w:keepLines w:val="0"/>
      <w:widowControl/>
      <w:spacing w:before="120" w:after="40" w:line="240" w:lineRule="auto"/>
      <w:outlineLvl w:val="3"/>
    </w:pPr>
    <w:rPr>
      <w:rFonts w:asciiTheme="majorHAnsi" w:eastAsiaTheme="majorEastAsia" w:hAnsiTheme="majorHAnsi" w:cstheme="majorBidi" w:ascii="Times New Roman" w:hAnsi="Times New Roman" w:eastAsia="SimSun"/>
      <w:b/>
      <w:bCs/>
      <w:i/>
      <w:iCs/>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