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 2026-08-29 的改写重做了一遍：句子改短，不用破折号， §3 改成先讲性质和用途、再讲结构原因。图仍为 8 张多面板合集图，图内文字是英文；参考文献著录格式保留英文。英文稿里的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待办标记，翻译时原样保留。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把每个家族的作用力、结果和局限放在一行上。图 2 汇总了所有重复单元，图 3 汇总了所有高阶结构。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456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5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1．从结构到性质的链条，每个家族一行。每行从左到右读：主导分子间作用力，到关键结果，再到关键局限。表 1 的五类主链在这里显示为七行，因为多糖和聚酯各拆成行为不同的两个成员。颜色按主链化学类别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2a）形成伸展的扁平带状结构。氢键把这些带状链锁进堆叠的 Iα 和 Iβ 片层（图 3a）。把片层结合在一起的总能量大于主链键的强度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3b）。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3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796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9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(m)：顺-1,4-聚异戊二烯。海藻酸 G 只核对了"是 M 的 C5 差向异构体"，提交前需再核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2f）。它用于硬质包装、涂层和可堆肥物品。它的加工窗口是本文中最窄的，约 25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3d）。PBS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2h）同时既强又韧，这对任何聚合物都很少见。所以它用作高级缝合线和组织支架材料，也用作韧性纤维的研究模型。这份韧性来自 2 到 4 nm 大小的 β-折叠纳米晶体，它们分散在柔顺的无定形基体中（图 3e）[8]。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3f），由羟脯氨酸的立体电子效应稳定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1510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51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2j-l）的自由基偶联搭出一个不规则的交联网络，没有重复的链。β-O-4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PROVISIONAL。它们是教学级估计范围，用来让图 5 和本表内部自洽。提交前每一条都必须替换为有文献支撑的数值，并注明测试条件（试样形态、含水量、热历史）。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4）。蛋白质和核酸按模板合成，每条链长度一样，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205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05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4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5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25 °C，PHBV 约 55 °C，PLLA 稍宽一些 [44]。图 5a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5b）。高结晶度和密集氢键把模量抬上去，但也留不下几段柔性链段，所以生物聚合物不能像聚乙烯、聚丙烯那样在断裂前拉长。大多数生物聚合物因此落在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5b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990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9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或淀粉薄膜的阻隔等级必须连同一个储存湿度一起给出，而不能是一个单一数字。⚙️ 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6）。聚酯通过一种会自我催化的酯水解降解。每次断链留下的酸性端基会加速下一次断链，所以制品薄到临界厚度以下之后，它的内部比表面侵蚀得更快。这就是本体侵蚀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[50]。因此结晶度是本文的核心权衡。设定模量（§5.2）、把水挡在外面（§5.3）的同一个特征，也把会降解材料的攻击挡在外面。⚙️ 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0749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74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7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206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20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0.5%，预计到 2030 年翻倍到约 469 万吨 [16]。扩大规模本身解决不了加工窗口、湿度敏感性和批次变异性。较近的应对路线是酶促解聚回单体（近期从消费后 PLA 在 72 小时内回收了约 60% 的乳酸 [17]），以及 ⚙️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