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CM5174 group project · MSc Industrial Chemistry, National University of Singapore · [Date]</w:t>
      </w:r>
    </w:p>
    <w:p>
      <w:r>
        <w:rPr>
          <w:b/>
          <w:i/>
        </w:rPr>
        <w:t>AI Tool Declaration.</w:t>
      </w:r>
      <w:r>
        <w:rPr>
          <w:b w:val="0"/>
          <w:i/>
        </w:rPr>
        <w:t xml:space="preserve"> We used Claude (Anthropic) to draft, revise and copy-edit the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This review is organised around one choice. We sort biopolymers by the bond that repeats along the backbone rather than by the organism they come from, and we describe what each material does and where it is used before explaining it from structure. A few things recur across the families. Strength is rarely the limit; what caps performance is thermal stability and the response to water. Crystallinity is the other recurring theme, and it cuts both ways, because the crystalline order that stiffens a polymer also blocks water and slows the hydrolysis or enzymatic attack that degrades it, so a gain on one of the three is usually paid for on the other two. Molecular weight is handled with some care, since a single figure means almost nothing without the method behind it. A brief comparison of natural rubber with synthetic SBR shows the same backbone-versus-formulation tension inside a single application. All figures were generated by code, from cited data and from structures checked for stereochemistry.</w:t>
      </w:r>
    </w:p>
    <w:p>
      <w:pPr>
        <w:pStyle w:val="Heading1"/>
      </w:pPr>
      <w:r>
        <w:t>1. Introduction and Definition</w:t>
      </w:r>
    </w:p>
    <w:p>
      <w:pPr>
        <w:jc w:val="both"/>
      </w:pPr>
      <w:r>
        <w:rPr>
          <w:b w:val="0"/>
          <w:i w:val="0"/>
        </w:rPr>
        <w:t xml:space="preserve">A biopolymer is a large molecule that a living organism builds. Polysaccharides, proteins, nucleic acids, </w:t>
      </w:r>
      <w:r>
        <w:rPr>
          <w:i/>
        </w:rPr>
        <w:t>cis</w:t>
      </w:r>
      <w:r>
        <w:rPr>
          <w:b w:val="0"/>
          <w:i w:val="0"/>
        </w:rPr>
        <w:t>-1,4-polyisoprene and lignin between them account for most of the organic polymer on Earth [1]. We also bring in polymers made by chemically polymerising a monomer that was itself extracted from biomass. Poly(lactic acid), or PLA, is the obvious case, and because its behaviour makes most sense when read against the true biopolymers, we keep it alongside them throughout.</w:t>
      </w:r>
    </w:p>
    <w:p>
      <w:pPr>
        <w:jc w:val="both"/>
      </w:pPr>
      <w:r>
        <w:rPr>
          <w:b w:val="0"/>
          <w:i w:val="0"/>
        </w:rPr>
        <w:t>What separates these chains from synthetic polymers really comes down to how they are made. The synthesis follows a template, so chain length and sequence are fixed exactly and proteins and nucleic acids end up perfectly uniform (Đ = 1.0). The monomers a cell supplies are single enantiomers, which makes the chains stereoregular for free. On top of that, almost every repeat unit carries a hydroxyl, an amide or a carbonyl group, and those groups pull neighbouring chains together much harder than anything in polyethylene or polypropylene. Nearly everything in this review follows from those points. They give biopolymers their stiffness and high crystallinity. They are also why the same materials are brittle, take up water, and start to decompose at or below their melting point (Section 5.4).</w:t>
      </w:r>
    </w:p>
    <w:p>
      <w:pPr>
        <w:jc w:val="both"/>
      </w:pPr>
      <w:r>
        <w:rPr>
          <w:b w:val="0"/>
          <w:i w:val="0"/>
        </w:rPr>
        <w:t>The sections that follow take this in order: how biopolymers are classified, the individual families, molecular weight, the properties they share, the comparison with synthetic polymers, and applications.</w:t>
      </w:r>
    </w:p>
    <w:p>
      <w:pPr>
        <w:pStyle w:val="Heading1"/>
      </w:pPr>
      <w:r>
        <w:t>2. Types of Biopolymers</w:t>
      </w:r>
    </w:p>
    <w:p>
      <w:pPr>
        <w:jc w:val="both"/>
      </w:pPr>
      <w:r>
        <w:rPr>
          <w:b w:val="0"/>
          <w:i w:val="0"/>
        </w:rPr>
        <w:t>The usual first cut sorts biopolymers by origin: pulled out of biomass, made by micro-organisms, or polymerised from a bio-based monomer. Origin turns out to be a weak predictor of how a material behaves. Two polymers with the same origin can melt, process and rot in completely unlike ways, and two with different origins often end up much alike. The linkage that repeats along the backbone is the more useful handle, since it is what decides whether a material can be melted at all and how it comes apart. So the review is built around backbone chemistry (Table 1). Origin stays on as a small tag against each material, because it still explains why molecular weight and purity drift about within a single class (Section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Each material below is introduced by what it does and where it is used, with the structural reason second. The through-line is that backbone chemistry, not the biological source, is what predicts melting, degradation by water or enzymes, and mechanical behaviour. Table 2 collects the numbers; Fig. 1 shows the repeat units and Fig. 2 the higher-order structures.</w:t>
      </w:r>
    </w:p>
    <w:p>
      <w:pPr>
        <w:pStyle w:val="Heading2"/>
      </w:pPr>
      <w:r>
        <w:t>3.1 Polysaccharides</w:t>
      </w:r>
    </w:p>
    <w:p>
      <w:pPr>
        <w:jc w:val="both"/>
      </w:pPr>
      <w:r>
        <w:rPr>
          <w:b/>
          <w:i w:val="0"/>
        </w:rPr>
        <w:t>Cellulose</w:t>
      </w:r>
      <w:r>
        <w:rPr>
          <w:b w:val="0"/>
          <w:i w:val="0"/>
        </w:rPr>
        <w:t xml:space="preserve"> is the stiffest material in the review, with a crystal modulus along the chain axis of roughly 130 to 150 GPa [35]; regenerated fibres come in lower, at 10 to 30 GPa [36]. It has no real melting point and begins to decompose near 300 °C, which forces everything to be shaped from solution: Lyocell and viscose fibre [36], clear film, and the nanocrystals and nanofibrils now used as reinforcing filler [2]. Behind this is the linear β-(1→4) chain (Fig. 1a), which lies flat as a ribbon so that hydrogen bonds can stack the ribbons into Iα and Iβ sheets (Fig. 2a). Holding those sheets together takes more energy than breaking a backbone bond [33,34], so the only solvents that dissolve cellulose are ones that tear the hydrogen-bond network apart, such as NMMO in the Lyocell process [37] or LiCl in DMAc.</w:t>
      </w:r>
    </w:p>
    <w:p>
      <w:pPr>
        <w:jc w:val="both"/>
      </w:pPr>
      <w:r>
        <w:rPr>
          <w:b/>
          <w:i w:val="0"/>
        </w:rPr>
        <w:t>Starch</w:t>
      </w:r>
      <w:r>
        <w:rPr>
          <w:b w:val="0"/>
          <w:i w:val="0"/>
        </w:rPr>
        <w:t>, plasticised into thermoplastic starch, is soft and very cheap (modulus 0.02 to 1 GPa), but it is sensitive to humidity and slowly recrystallises in storage, a process called retrogradation [38]. That is why it is rarely used on its own and usually goes into blends with PLA or PBAT, for compostable bags, foamed trays and mulch film. The packing of the chains matters here more than their chemistry: linear amylose and branched amylopectin together give only a weak crystallinity that humidity reverses, and the amylose winds into a helix wide enough for water to get in and plasticise it (Fig. 2b).</w:t>
      </w:r>
    </w:p>
    <w:p>
      <w:pPr>
        <w:jc w:val="both"/>
      </w:pPr>
      <w:r>
        <w:rPr>
          <w:b/>
          <w:i w:val="0"/>
        </w:rPr>
        <w:t>Chitosan</w:t>
      </w:r>
      <w:r>
        <w:rPr>
          <w:b w:val="0"/>
          <w:i w:val="0"/>
        </w:rPr>
        <w:t xml:space="preserve"> earns its place less through mechanics (film modulus 1 to 4 GPa) than through being a polycation once it is dissolved in dilute acid. That one fact makes it antimicrobial, gives it a grip on metal ions, and lets it stick to mucosal tissue, which is why it turns up in wound dressings, antimicrobial coatings and water treatment [39]. The degree of deacetylation controls both its solubility and its charge. Pushing that number up means treating with alkali, and the alkali also snips the backbone, so the most heavily deacetylated grades are also the lowest in molecular weight [3].</w:t>
      </w:r>
    </w:p>
    <w:p>
      <w:pPr>
        <w:jc w:val="both"/>
      </w:pPr>
      <w:r>
        <w:rPr>
          <w:b/>
          <w:i w:val="0"/>
        </w:rPr>
        <w:t>Alginate</w:t>
      </w:r>
      <w:r>
        <w:rPr>
          <w:b w:val="0"/>
          <w:i w:val="0"/>
        </w:rPr>
        <w:t xml:space="preserve"> sets into a soft ionic gel at room temperature as soon as Ca²⁺ ions bridge its guluronate blocks in what is usually called an "egg-box" junction [4] (Fig. 2c). Add a chelating agent and the gel comes undone again. This reversible gelling is what underlies alginate hydrogels for wound dressings, cell encapsulation and bioprinting, along with the more everyday use as a food thickener. How much of the chain is guluronate blocks decides where the gel sits between stiff and brittle. Hyaluronic acid, carrageenan, xanthan and pectin all run on the same linkage-chemistry logic.</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1. Repeat units, drawn by the authors with RDKit from stereochemistry-checked SMILES, coloured by backbone class. (a–e) polysaccharides cellulose, amylose, chitosan, alginate M, alginate G; (a)/(b) differ only at C1, (d)/(e) only at C5. (f–g) polyesters PHB, PLLA, with (R)/(S) marked. (h–i) proteins silk fibroin (Gly-Ala)ₙ, collagen Gly-Pro-Hyp. (j–l) lignin precursors p-coumaryl, coniferyl and sinapyl alcohol (0, 1, 2 methoxy groups). (m) cis-1,4-polyisoprene.</w:t>
      </w:r>
    </w:p>
    <w:p>
      <w:pPr>
        <w:pStyle w:val="Heading2"/>
      </w:pPr>
      <w:r>
        <w:t>3.2 Polyesters: PHA and PLA</w:t>
      </w:r>
    </w:p>
    <w:p>
      <w:pPr>
        <w:jc w:val="both"/>
      </w:pPr>
      <w:r>
        <w:rPr>
          <w:b/>
          <w:i w:val="0"/>
        </w:rPr>
        <w:t>PHA</w:t>
      </w:r>
      <w:r>
        <w:rPr>
          <w:b w:val="0"/>
          <w:i w:val="0"/>
        </w:rPr>
        <w:t xml:space="preserve"> is a stiff (1.5 to 4 GPa) but brittle (1.5 to 8% elongation at break) thermoplastic, fully biodegradable, and used for rigid packaging, coatings and compostable items. The archetype is PHB (Fig. 1f). Its processing window, at about 20 °C, is the narrowest of anything in the review, because PHB comes apart by a six-membered-ring </w:t>
      </w:r>
      <w:r>
        <w:rPr>
          <w:i/>
        </w:rPr>
        <w:t>cis</w:t>
      </w:r>
      <w:r>
        <w:rPr>
          <w:b w:val="0"/>
          <w:i w:val="0"/>
        </w:rPr>
        <w:t xml:space="preserve">-elimination the moment it is heated past its melting point [5]. Copolymerising it as PHBV or PHBHHx opens the window to around 55 °C, though the material gives up some stiffness in exchange. </w:t>
      </w:r>
      <w:r>
        <w:rPr>
          <w:b/>
          <w:i w:val="0"/>
        </w:rPr>
        <w:t>PLA</w:t>
      </w:r>
      <w:r>
        <w:rPr>
          <w:b w:val="0"/>
          <w:i w:val="0"/>
        </w:rPr>
        <w:t xml:space="preserve"> is the bio-based plastic that people actually use in bulk today: the filament in a 3D printer, and the material behind food serviceware, fibre, and resorbable sutures (where it is PLGA). It has a modulus of 2.5 to 4 GPa, but a glass transition near 60 °C, and that low Tg puts a low ceiling on how much heat it will take (Section 6.2). Getting a useful molecular weight means ring-opening polymerisation of lactide with Sn(Oct)₂ as the catalyst [40,41]. Blend the two enantiomers and the PLLA/PDLA stereocomplex melts about 50 °C higher, simply because the opposite-handed chains pack together more tightly [6,7]. Both polymers still crystallise as helices that melt rather than decompose (Fig. 2d). PBS and PEF sit on the same ester logic (Section 7).</w:t>
      </w:r>
    </w:p>
    <w:p>
      <w:pPr>
        <w:pStyle w:val="Heading2"/>
      </w:pPr>
      <w:r>
        <w:t>3.3 Protein-based Polymers</w:t>
      </w:r>
    </w:p>
    <w:p>
      <w:pPr>
        <w:jc w:val="both"/>
      </w:pPr>
      <w:r>
        <w:rPr>
          <w:b/>
          <w:i w:val="0"/>
        </w:rPr>
        <w:t>Silk fibroin</w:t>
      </w:r>
      <w:r>
        <w:rPr>
          <w:b w:val="0"/>
          <w:i w:val="0"/>
        </w:rPr>
        <w:t xml:space="preserve"> (Fig. 1h) manages to be strong and tough at the same time, which almost no polymer does, and that combination is why it serves as a premium suture, as a tissue-scaffold material, and as a model system for tough fibres. The toughness comes from β-sheet nanocrystallites only 2 to 4 nm across, sitting in a soft amorphous matrix (Fig. 2e) [8]. </w:t>
      </w:r>
      <w:r>
        <w:rPr>
          <w:b/>
          <w:i w:val="0"/>
        </w:rPr>
        <w:t>Collagen</w:t>
      </w:r>
      <w:r>
        <w:rPr>
          <w:b w:val="0"/>
          <w:i w:val="0"/>
        </w:rPr>
        <w:t xml:space="preserve">, and </w:t>
      </w:r>
      <w:r>
        <w:rPr>
          <w:b/>
          <w:i w:val="0"/>
        </w:rPr>
        <w:t>gelatin</w:t>
      </w:r>
      <w:r>
        <w:rPr>
          <w:b w:val="0"/>
          <w:i w:val="0"/>
        </w:rPr>
        <w:t>, which is just denatured collagen, go into hydrogels, tissue scaffolds and encapsulants. Collagen is built as a Gly-X-Y triple helix (Fig. 2f) that a stereoelectronic effect from hydroxyproline holds together [45]; heat it and the helix unwinds into gelatin, and it will not wind back. Zein, casein and soy protein form films of their own but carry no structural load (Section 7). Because every protein chain is copied from a ribosomal template, all the chains are the same length (Đ = 1.0), something no non-templated biopolymer can claim (Section 4).</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2. Higher-order structure, drawn by the authors: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pStyle w:val="Heading2"/>
      </w:pPr>
      <w:r>
        <w:t>3.4 Lignin</w:t>
      </w:r>
    </w:p>
    <w:p>
      <w:pPr>
        <w:jc w:val="both"/>
      </w:pPr>
      <w:r>
        <w:rPr>
          <w:b/>
          <w:i w:val="0"/>
        </w:rPr>
        <w:t>Lignin</w:t>
      </w:r>
      <w:r>
        <w:rPr>
          <w:b w:val="0"/>
          <w:i w:val="0"/>
        </w:rPr>
        <w:t xml:space="preserve"> is the second most abundant biopolymer on land, and pulping throws it off cheaply as a by-product. It goes into fillers, serves as a carbon-fibre precursor, and works as an antioxidant or UV additive; there is also live interest in using it to take over part of the phenol-formaldehyde resin in wood panels. What lignin does not have is a single structure-property relationship. Radical coupling of the three monolignols (Fig. 1j–l) throws together an irregular cross-linked network with no repeating chain at all. The β-O-4 ether makes up somewhere between 45 and 60% of the linkages [9]. The rest of the composition shifts with the plant species, and again with the extraction route, whether that is kraft, organosolv or lignosulfonate [54].</w:t>
      </w:r>
    </w:p>
    <w:p>
      <w:pPr>
        <w:pStyle w:val="Heading2"/>
      </w:pPr>
      <w:r>
        <w:t>3.5 Natural Rubber</w:t>
      </w:r>
    </w:p>
    <w:p>
      <w:pPr>
        <w:jc w:val="both"/>
      </w:pPr>
      <w:r>
        <w:rPr>
          <w:b w:val="0"/>
          <w:i w:val="0"/>
        </w:rPr>
        <w:t xml:space="preserve">At rest, </w:t>
      </w:r>
      <w:r>
        <w:rPr>
          <w:b/>
          <w:i w:val="0"/>
        </w:rPr>
        <w:t>natural rubber</w:t>
      </w:r>
      <w:r>
        <w:rPr>
          <w:b w:val="0"/>
          <w:i w:val="0"/>
        </w:rPr>
        <w:t xml:space="preserve"> has almost no modulus (0.001 to 0.005 GPa). Put it under load, though, and its tear and fatigue resistance is excellent, which is what keeps it in tyres, engine mounts, gloves and adhesives even with synthetic rubbers competing for the same jobs. The stiffness is made on demand. Relaxed </w:t>
      </w:r>
      <w:r>
        <w:rPr>
          <w:i/>
        </w:rPr>
        <w:t>cis</w:t>
      </w:r>
      <w:r>
        <w:rPr>
          <w:b w:val="0"/>
          <w:i w:val="0"/>
        </w:rPr>
        <w:t xml:space="preserve">-1,4-polyisoprene is amorphous, but stretching it drives the chains to crystallise, and those crystallites stiffen the network. X-ray diffraction has documented this strain-induced crystallisation (SIC) thoroughly, and it is mostly missing from synthetic </w:t>
      </w:r>
      <w:r>
        <w:rPr>
          <w:i/>
        </w:rPr>
        <w:t>cis</w:t>
      </w:r>
      <w:r>
        <w:rPr>
          <w:b w:val="0"/>
          <w:i w:val="0"/>
        </w:rPr>
        <w:t xml:space="preserve">-polyisoprene [10]. None of this is a fixed material constant. Both the molecular weight and its spread vary from one </w:t>
      </w:r>
      <w:r>
        <w:rPr>
          <w:i/>
        </w:rPr>
        <w:t>Hevea</w:t>
      </w:r>
      <w:r>
        <w:rPr>
          <w:b w:val="0"/>
          <w:i w:val="0"/>
        </w:rPr>
        <w:t xml:space="preserve"> clone to the next and with the age of the tree [19], and the non-rubber protein and gel fraction is not really an impurity but an active, clone-dependent part of the network [18]. Section 6.3 sets natural rubber directly against a synthetic counterpart.</w:t>
      </w:r>
    </w:p>
    <w:p>
      <w:pPr>
        <w:spacing w:line="240" w:lineRule="auto" w:after="40"/>
      </w:pPr>
      <w:r>
        <w:rPr>
          <w:b/>
          <w:i w:val="0"/>
          <w:sz w:val="20"/>
        </w:rPr>
        <w:t>Table 2.</w:t>
      </w:r>
      <w:r>
        <w:rPr>
          <w:b w:val="0"/>
          <w:i w:val="0"/>
          <w:sz w:val="20"/>
        </w:rPr>
        <w:t xml:space="preserve"> Thermal and mechanical properties of the biopolymers discussed in Section 3 (order-of-magnitude ranges; Tg/Tm and tensile data cross-checked against de Beukelaer et al. [11], PBS against Aliotta et al. [12], PLA against [42,43], and polyester decomposition onsets against [5,44]; the polysaccharide and protein Td values are representative TGA onsets from the general literature.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40"/>
        <w:gridCol w:w="1012"/>
        <w:gridCol w:w="1012"/>
        <w:gridCol w:w="1145"/>
        <w:gridCol w:w="1732"/>
        <w:gridCol w:w="1784"/>
      </w:tblGrid>
      <w:tr>
        <w:tc>
          <w:tcPr>
            <w:tcW w:type="dxa" w:w="224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45"/>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84"/>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40"/>
            <w:tcBorders>
              <w:top w:val="nil"/>
              <w:bottom w:val="nil"/>
            </w:tcBorders>
          </w:tcPr>
          <w:p>
            <w:pPr>
              <w:spacing w:after="10" w:before="10" w:line="240" w:lineRule="auto"/>
            </w:pPr>
            <w:r>
              <w:rPr>
                <w:rFonts w:ascii="Arial" w:hAnsi="Arial"/>
                <w:b w:val="0"/>
                <w:i w:val="0"/>
                <w:sz w:val="16"/>
              </w:rPr>
              <w:t>Cellulose (regenerated fibre)</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10–30</w:t>
            </w:r>
          </w:p>
        </w:tc>
        <w:tc>
          <w:tcPr>
            <w:tcW w:type="dxa" w:w="1784"/>
            <w:tcBorders>
              <w:top w:val="nil"/>
              <w:bottom w:val="nil"/>
            </w:tcBorders>
          </w:tcPr>
          <w:p>
            <w:pPr>
              <w:spacing w:after="10" w:before="10" w:line="240" w:lineRule="auto"/>
            </w:pPr>
            <w:r>
              <w:rPr>
                <w:rFonts w:ascii="Arial" w:hAnsi="Arial"/>
                <w:b w:val="0"/>
                <w:i w:val="0"/>
                <w:sz w:val="16"/>
              </w:rPr>
              <w:t>8–15</w:t>
            </w:r>
          </w:p>
        </w:tc>
      </w:tr>
      <w:tr>
        <w:tc>
          <w:tcPr>
            <w:tcW w:type="dxa" w:w="2240"/>
            <w:tcBorders>
              <w:top w:val="nil"/>
              <w:bottom w:val="nil"/>
            </w:tcBorders>
          </w:tcPr>
          <w:p>
            <w:pPr>
              <w:spacing w:after="10" w:before="10" w:line="240" w:lineRule="auto"/>
            </w:pPr>
            <w:r>
              <w:rPr>
                <w:rFonts w:ascii="Arial" w:hAnsi="Arial"/>
                <w:b w:val="0"/>
                <w:i w:val="0"/>
                <w:sz w:val="16"/>
              </w:rPr>
              <w:t>Thermoplastic starch</w:t>
            </w:r>
          </w:p>
        </w:tc>
        <w:tc>
          <w:tcPr>
            <w:tcW w:type="dxa" w:w="1013"/>
            <w:tcBorders>
              <w:top w:val="nil"/>
              <w:bottom w:val="nil"/>
            </w:tcBorders>
          </w:tcPr>
          <w:p>
            <w:pPr>
              <w:spacing w:after="10" w:before="10" w:line="240" w:lineRule="auto"/>
            </w:pPr>
            <w:r>
              <w:rPr>
                <w:rFonts w:ascii="Arial" w:hAnsi="Arial"/>
                <w:b w:val="0"/>
                <w:i w:val="0"/>
                <w:sz w:val="16"/>
              </w:rPr>
              <w:t>~−20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0.02–1.0</w:t>
            </w:r>
          </w:p>
        </w:tc>
        <w:tc>
          <w:tcPr>
            <w:tcW w:type="dxa" w:w="1784"/>
            <w:tcBorders>
              <w:top w:val="nil"/>
              <w:bottom w:val="nil"/>
            </w:tcBorders>
          </w:tcPr>
          <w:p>
            <w:pPr>
              <w:spacing w:after="10" w:before="10" w:line="240" w:lineRule="auto"/>
            </w:pPr>
            <w:r>
              <w:rPr>
                <w:rFonts w:ascii="Arial" w:hAnsi="Arial"/>
                <w:b w:val="0"/>
                <w:i w:val="0"/>
                <w:sz w:val="16"/>
              </w:rPr>
              <w:t>20–100</w:t>
            </w:r>
          </w:p>
        </w:tc>
      </w:tr>
      <w:tr>
        <w:tc>
          <w:tcPr>
            <w:tcW w:type="dxa" w:w="2240"/>
            <w:tcBorders>
              <w:top w:val="nil"/>
              <w:bottom w:val="nil"/>
            </w:tcBorders>
          </w:tcPr>
          <w:p>
            <w:pPr>
              <w:spacing w:after="10" w:before="10" w:line="240" w:lineRule="auto"/>
            </w:pPr>
            <w:r>
              <w:rPr>
                <w:rFonts w:ascii="Arial" w:hAnsi="Arial"/>
                <w:b w:val="0"/>
                <w:i w:val="0"/>
                <w:sz w:val="16"/>
              </w:rPr>
              <w:t>Chitosan (film)</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~280</w:t>
            </w:r>
          </w:p>
        </w:tc>
        <w:tc>
          <w:tcPr>
            <w:tcW w:type="dxa" w:w="1733"/>
            <w:tcBorders>
              <w:top w:val="nil"/>
              <w:bottom w:val="nil"/>
            </w:tcBorders>
          </w:tcPr>
          <w:p>
            <w:pPr>
              <w:spacing w:after="10" w:before="10" w:line="240" w:lineRule="auto"/>
            </w:pPr>
            <w:r>
              <w:rPr>
                <w:rFonts w:ascii="Arial" w:hAnsi="Arial"/>
                <w:b w:val="0"/>
                <w:i w:val="0"/>
                <w:sz w:val="16"/>
              </w:rPr>
              <w:t>1.0–4.0</w:t>
            </w:r>
          </w:p>
        </w:tc>
        <w:tc>
          <w:tcPr>
            <w:tcW w:type="dxa" w:w="1784"/>
            <w:tcBorders>
              <w:top w:val="nil"/>
              <w:bottom w:val="nil"/>
            </w:tcBorders>
          </w:tcPr>
          <w:p>
            <w:pPr>
              <w:spacing w:after="10" w:before="10" w:line="240" w:lineRule="auto"/>
            </w:pPr>
            <w:r>
              <w:rPr>
                <w:rFonts w:ascii="Arial" w:hAnsi="Arial"/>
                <w:b w:val="0"/>
                <w:i w:val="0"/>
                <w:sz w:val="16"/>
              </w:rPr>
              <w:t>3–30</w:t>
            </w:r>
          </w:p>
        </w:tc>
      </w:tr>
      <w:tr>
        <w:tc>
          <w:tcPr>
            <w:tcW w:type="dxa" w:w="2240"/>
            <w:tcBorders>
              <w:top w:val="nil"/>
              <w:bottom w:val="nil"/>
            </w:tcBorders>
          </w:tcPr>
          <w:p>
            <w:pPr>
              <w:spacing w:after="10" w:before="10" w:line="240" w:lineRule="auto"/>
            </w:pPr>
            <w:r>
              <w:rPr>
                <w:rFonts w:ascii="Arial" w:hAnsi="Arial"/>
                <w:b w:val="0"/>
                <w:i w:val="0"/>
                <w:sz w:val="16"/>
              </w:rPr>
              <w:t>Silk fibroin (fibre)</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5–17</w:t>
            </w:r>
          </w:p>
        </w:tc>
        <w:tc>
          <w:tcPr>
            <w:tcW w:type="dxa" w:w="1784"/>
            <w:tcBorders>
              <w:top w:val="nil"/>
              <w:bottom w:val="nil"/>
            </w:tcBorders>
          </w:tcPr>
          <w:p>
            <w:pPr>
              <w:spacing w:after="10" w:before="10" w:line="240" w:lineRule="auto"/>
            </w:pPr>
            <w:r>
              <w:rPr>
                <w:rFonts w:ascii="Arial" w:hAnsi="Arial"/>
                <w:b w:val="0"/>
                <w:i w:val="0"/>
                <w:sz w:val="16"/>
              </w:rPr>
              <w:t>15–30</w:t>
            </w:r>
          </w:p>
        </w:tc>
      </w:tr>
      <w:tr>
        <w:tc>
          <w:tcPr>
            <w:tcW w:type="dxa" w:w="2240"/>
            <w:tcBorders>
              <w:top w:val="nil"/>
              <w:bottom w:val="nil"/>
            </w:tcBorders>
          </w:tcPr>
          <w:p>
            <w:pPr>
              <w:spacing w:after="10" w:before="10" w:line="240" w:lineRule="auto"/>
            </w:pPr>
            <w:r>
              <w:rPr>
                <w:rFonts w:ascii="Arial" w:hAnsi="Arial"/>
                <w:b w:val="0"/>
                <w:i w:val="0"/>
                <w:sz w:val="16"/>
              </w:rPr>
              <w:t>PHB (HV/HHx copolymers lower Tm)</w:t>
            </w:r>
          </w:p>
        </w:tc>
        <w:tc>
          <w:tcPr>
            <w:tcW w:type="dxa" w:w="1013"/>
            <w:tcBorders>
              <w:top w:val="nil"/>
              <w:bottom w:val="nil"/>
            </w:tcBorders>
          </w:tcPr>
          <w:p>
            <w:pPr>
              <w:spacing w:after="10" w:before="10" w:line="240" w:lineRule="auto"/>
            </w:pPr>
            <w:r>
              <w:rPr>
                <w:rFonts w:ascii="Arial" w:hAnsi="Arial"/>
                <w:b w:val="0"/>
                <w:i w:val="0"/>
                <w:sz w:val="16"/>
              </w:rPr>
              <w:t>~5</w:t>
            </w:r>
          </w:p>
        </w:tc>
        <w:tc>
          <w:tcPr>
            <w:tcW w:type="dxa" w:w="1013"/>
            <w:tcBorders>
              <w:top w:val="nil"/>
              <w:bottom w:val="nil"/>
            </w:tcBorders>
          </w:tcPr>
          <w:p>
            <w:pPr>
              <w:spacing w:after="10" w:before="10" w:line="240" w:lineRule="auto"/>
            </w:pPr>
            <w:r>
              <w:rPr>
                <w:rFonts w:ascii="Arial" w:hAnsi="Arial"/>
                <w:b w:val="0"/>
                <w:i w:val="0"/>
                <w:sz w:val="16"/>
              </w:rPr>
              <w:t>~180</w:t>
            </w:r>
          </w:p>
        </w:tc>
        <w:tc>
          <w:tcPr>
            <w:tcW w:type="dxa" w:w="1145"/>
            <w:tcBorders>
              <w:top w:val="nil"/>
              <w:bottom w:val="nil"/>
            </w:tcBorders>
          </w:tcPr>
          <w:p>
            <w:pPr>
              <w:spacing w:after="10" w:before="10" w:line="240" w:lineRule="auto"/>
            </w:pPr>
            <w:r>
              <w:rPr>
                <w:rFonts w:ascii="Arial" w:hAnsi="Arial"/>
                <w:b w:val="0"/>
                <w:i w:val="0"/>
                <w:sz w:val="16"/>
              </w:rPr>
              <w:t>~200</w:t>
            </w:r>
          </w:p>
        </w:tc>
        <w:tc>
          <w:tcPr>
            <w:tcW w:type="dxa" w:w="1733"/>
            <w:tcBorders>
              <w:top w:val="nil"/>
              <w:bottom w:val="nil"/>
            </w:tcBorders>
          </w:tcPr>
          <w:p>
            <w:pPr>
              <w:spacing w:after="10" w:before="10" w:line="240" w:lineRule="auto"/>
            </w:pPr>
            <w:r>
              <w:rPr>
                <w:rFonts w:ascii="Arial" w:hAnsi="Arial"/>
                <w:b w:val="0"/>
                <w:i w:val="0"/>
                <w:sz w:val="16"/>
              </w:rPr>
              <w:t>1.5–4.0</w:t>
            </w:r>
          </w:p>
        </w:tc>
        <w:tc>
          <w:tcPr>
            <w:tcW w:type="dxa" w:w="1784"/>
            <w:tcBorders>
              <w:top w:val="nil"/>
              <w:bottom w:val="nil"/>
            </w:tcBorders>
          </w:tcPr>
          <w:p>
            <w:pPr>
              <w:spacing w:after="10" w:before="10" w:line="240" w:lineRule="auto"/>
            </w:pPr>
            <w:r>
              <w:rPr>
                <w:rFonts w:ascii="Arial" w:hAnsi="Arial"/>
                <w:b w:val="0"/>
                <w:i w:val="0"/>
                <w:sz w:val="16"/>
              </w:rPr>
              <w:t>1.5–8</w:t>
            </w:r>
          </w:p>
        </w:tc>
      </w:tr>
      <w:tr>
        <w:tc>
          <w:tcPr>
            <w:tcW w:type="dxa" w:w="2240"/>
            <w:tcBorders>
              <w:top w:val="nil"/>
              <w:bottom w:val="nil"/>
            </w:tcBorders>
          </w:tcPr>
          <w:p>
            <w:pPr>
              <w:spacing w:after="10" w:before="10" w:line="240" w:lineRule="auto"/>
            </w:pPr>
            <w:r>
              <w:rPr>
                <w:rFonts w:ascii="Arial" w:hAnsi="Arial"/>
                <w:b w:val="0"/>
                <w:i w:val="0"/>
                <w:sz w:val="16"/>
              </w:rPr>
              <w:t>PLLA</w:t>
            </w:r>
          </w:p>
        </w:tc>
        <w:tc>
          <w:tcPr>
            <w:tcW w:type="dxa" w:w="1013"/>
            <w:tcBorders>
              <w:top w:val="nil"/>
              <w:bottom w:val="nil"/>
            </w:tcBorders>
          </w:tcPr>
          <w:p>
            <w:pPr>
              <w:spacing w:after="10" w:before="10" w:line="240" w:lineRule="auto"/>
            </w:pPr>
            <w:r>
              <w:rPr>
                <w:rFonts w:ascii="Arial" w:hAnsi="Arial"/>
                <w:b w:val="0"/>
                <w:i w:val="0"/>
                <w:sz w:val="16"/>
              </w:rPr>
              <w:t>~60</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2.5–4.0</w:t>
            </w:r>
          </w:p>
        </w:tc>
        <w:tc>
          <w:tcPr>
            <w:tcW w:type="dxa" w:w="1784"/>
            <w:tcBorders>
              <w:top w:val="nil"/>
              <w:bottom w:val="nil"/>
            </w:tcBorders>
          </w:tcPr>
          <w:p>
            <w:pPr>
              <w:spacing w:after="10" w:before="10" w:line="240" w:lineRule="auto"/>
            </w:pPr>
            <w:r>
              <w:rPr>
                <w:rFonts w:ascii="Arial" w:hAnsi="Arial"/>
                <w:b w:val="0"/>
                <w:i w:val="0"/>
                <w:sz w:val="16"/>
              </w:rPr>
              <w:t>3–10</w:t>
            </w:r>
          </w:p>
        </w:tc>
      </w:tr>
      <w:tr>
        <w:tc>
          <w:tcPr>
            <w:tcW w:type="dxa" w:w="2240"/>
            <w:tcBorders>
              <w:top w:val="nil"/>
              <w:bottom w:val="nil"/>
            </w:tcBorders>
          </w:tcPr>
          <w:p>
            <w:pPr>
              <w:spacing w:after="10" w:before="10" w:line="240" w:lineRule="auto"/>
            </w:pPr>
            <w:r>
              <w:rPr>
                <w:rFonts w:ascii="Arial" w:hAnsi="Arial"/>
                <w:b w:val="0"/>
                <w:i w:val="0"/>
                <w:sz w:val="16"/>
              </w:rPr>
              <w:t>PBS</w:t>
            </w:r>
          </w:p>
        </w:tc>
        <w:tc>
          <w:tcPr>
            <w:tcW w:type="dxa" w:w="1013"/>
            <w:tcBorders>
              <w:top w:val="nil"/>
              <w:bottom w:val="nil"/>
            </w:tcBorders>
          </w:tcPr>
          <w:p>
            <w:pPr>
              <w:spacing w:after="10" w:before="10" w:line="240" w:lineRule="auto"/>
            </w:pPr>
            <w:r>
              <w:rPr>
                <w:rFonts w:ascii="Arial" w:hAnsi="Arial"/>
                <w:b w:val="0"/>
                <w:i w:val="0"/>
                <w:sz w:val="16"/>
              </w:rPr>
              <w:t>~−30</w:t>
            </w:r>
          </w:p>
        </w:tc>
        <w:tc>
          <w:tcPr>
            <w:tcW w:type="dxa" w:w="1013"/>
            <w:tcBorders>
              <w:top w:val="nil"/>
              <w:bottom w:val="nil"/>
            </w:tcBorders>
          </w:tcPr>
          <w:p>
            <w:pPr>
              <w:spacing w:after="10" w:before="10" w:line="240" w:lineRule="auto"/>
            </w:pPr>
            <w:r>
              <w:rPr>
                <w:rFonts w:ascii="Arial" w:hAnsi="Arial"/>
                <w:b w:val="0"/>
                <w:i w:val="0"/>
                <w:sz w:val="16"/>
              </w:rPr>
              <w:t>~116</w:t>
            </w:r>
          </w:p>
        </w:tc>
        <w:tc>
          <w:tcPr>
            <w:tcW w:type="dxa" w:w="1145"/>
            <w:tcBorders>
              <w:top w:val="nil"/>
              <w:bottom w:val="nil"/>
            </w:tcBorders>
          </w:tcPr>
          <w:p>
            <w:pPr>
              <w:spacing w:after="10" w:before="10" w:line="240" w:lineRule="auto"/>
            </w:pPr>
            <w:r>
              <w:rPr>
                <w:rFonts w:ascii="Arial" w:hAnsi="Arial"/>
                <w:b w:val="0"/>
                <w:i w:val="0"/>
                <w:sz w:val="16"/>
              </w:rPr>
              <w:t>~350</w:t>
            </w:r>
          </w:p>
        </w:tc>
        <w:tc>
          <w:tcPr>
            <w:tcW w:type="dxa" w:w="1733"/>
            <w:tcBorders>
              <w:top w:val="nil"/>
              <w:bottom w:val="nil"/>
            </w:tcBorders>
          </w:tcPr>
          <w:p>
            <w:pPr>
              <w:spacing w:after="10" w:before="10" w:line="240" w:lineRule="auto"/>
            </w:pPr>
            <w:r>
              <w:rPr>
                <w:rFonts w:ascii="Arial" w:hAnsi="Arial"/>
                <w:b w:val="0"/>
                <w:i w:val="0"/>
                <w:sz w:val="16"/>
              </w:rPr>
              <w:t>0.3–0.7</w:t>
            </w:r>
          </w:p>
        </w:tc>
        <w:tc>
          <w:tcPr>
            <w:tcW w:type="dxa" w:w="1784"/>
            <w:tcBorders>
              <w:top w:val="nil"/>
              <w:bottom w:val="nil"/>
            </w:tcBorders>
          </w:tcPr>
          <w:p>
            <w:pPr>
              <w:spacing w:after="10" w:before="10" w:line="240" w:lineRule="auto"/>
            </w:pPr>
            <w:r>
              <w:rPr>
                <w:rFonts w:ascii="Arial" w:hAnsi="Arial"/>
                <w:b w:val="0"/>
                <w:i w:val="0"/>
                <w:sz w:val="16"/>
              </w:rPr>
              <w:t>200–500</w:t>
            </w:r>
          </w:p>
        </w:tc>
      </w:tr>
      <w:tr>
        <w:tc>
          <w:tcPr>
            <w:tcW w:type="dxa" w:w="2240"/>
            <w:tcBorders>
              <w:top w:val="nil"/>
              <w:bottom w:val="nil"/>
            </w:tcBorders>
          </w:tcPr>
          <w:p>
            <w:pPr>
              <w:spacing w:after="10" w:before="10" w:line="240" w:lineRule="auto"/>
            </w:pPr>
            <w:r>
              <w:rPr>
                <w:rFonts w:ascii="Arial" w:hAnsi="Arial"/>
                <w:b w:val="0"/>
                <w:i w:val="0"/>
                <w:sz w:val="16"/>
              </w:rPr>
              <w:t>Natural rubber (vulcanised)</w:t>
            </w:r>
          </w:p>
        </w:tc>
        <w:tc>
          <w:tcPr>
            <w:tcW w:type="dxa" w:w="1013"/>
            <w:tcBorders>
              <w:top w:val="nil"/>
              <w:bottom w:val="nil"/>
            </w:tcBorders>
          </w:tcPr>
          <w:p>
            <w:pPr>
              <w:spacing w:after="10" w:before="10" w:line="240" w:lineRule="auto"/>
            </w:pPr>
            <w:r>
              <w:rPr>
                <w:rFonts w:ascii="Arial" w:hAnsi="Arial"/>
                <w:b w:val="0"/>
                <w:i w:val="0"/>
                <w:sz w:val="16"/>
              </w:rPr>
              <w:t>~−70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w:t>
            </w:r>
          </w:p>
        </w:tc>
        <w:tc>
          <w:tcPr>
            <w:tcW w:type="dxa" w:w="1733"/>
            <w:tcBorders>
              <w:top w:val="nil"/>
              <w:bottom w:val="nil"/>
            </w:tcBorders>
          </w:tcPr>
          <w:p>
            <w:pPr>
              <w:spacing w:after="10" w:before="10" w:line="240" w:lineRule="auto"/>
            </w:pPr>
            <w:r>
              <w:rPr>
                <w:rFonts w:ascii="Arial" w:hAnsi="Arial"/>
                <w:b w:val="0"/>
                <w:i w:val="0"/>
                <w:sz w:val="16"/>
              </w:rPr>
              <w:t>0.001–0.005</w:t>
            </w:r>
          </w:p>
        </w:tc>
        <w:tc>
          <w:tcPr>
            <w:tcW w:type="dxa" w:w="1784"/>
            <w:tcBorders>
              <w:top w:val="nil"/>
              <w:bottom w:val="nil"/>
            </w:tcBorders>
          </w:tcPr>
          <w:p>
            <w:pPr>
              <w:spacing w:after="10" w:before="10" w:line="240" w:lineRule="auto"/>
            </w:pPr>
            <w:r>
              <w:rPr>
                <w:rFonts w:ascii="Arial" w:hAnsi="Arial"/>
                <w:b w:val="0"/>
                <w:i w:val="0"/>
                <w:sz w:val="16"/>
              </w:rPr>
              <w:t>500–800</w:t>
            </w:r>
          </w:p>
        </w:tc>
      </w:tr>
      <w:tr>
        <w:tc>
          <w:tcPr>
            <w:tcW w:type="dxa" w:w="2240"/>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3"/>
            <w:tcBorders>
              <w:top w:val="nil"/>
              <w:bottom w:val="single" w:sz="8" w:space="0" w:color="000000"/>
            </w:tcBorders>
          </w:tcPr>
          <w:p>
            <w:pPr>
              <w:spacing w:after="10" w:before="10" w:line="240" w:lineRule="auto"/>
            </w:pPr>
            <w:r>
              <w:rPr>
                <w:rFonts w:ascii="Arial" w:hAnsi="Arial"/>
                <w:b w:val="0"/>
                <w:i w:val="0"/>
                <w:sz w:val="16"/>
              </w:rPr>
              <w:t>~78</w:t>
            </w:r>
          </w:p>
        </w:tc>
        <w:tc>
          <w:tcPr>
            <w:tcW w:type="dxa" w:w="1013"/>
            <w:tcBorders>
              <w:top w:val="nil"/>
              <w:bottom w:val="single" w:sz="8" w:space="0" w:color="000000"/>
            </w:tcBorders>
          </w:tcPr>
          <w:p>
            <w:pPr>
              <w:spacing w:after="10" w:before="10" w:line="240" w:lineRule="auto"/>
            </w:pPr>
            <w:r>
              <w:rPr>
                <w:rFonts w:ascii="Arial" w:hAnsi="Arial"/>
                <w:b w:val="0"/>
                <w:i w:val="0"/>
                <w:sz w:val="16"/>
              </w:rPr>
              <w:t>~245</w:t>
            </w:r>
          </w:p>
        </w:tc>
        <w:tc>
          <w:tcPr>
            <w:tcW w:type="dxa" w:w="1145"/>
            <w:tcBorders>
              <w:top w:val="nil"/>
              <w:bottom w:val="single" w:sz="8" w:space="0" w:color="000000"/>
            </w:tcBorders>
          </w:tcPr>
          <w:p>
            <w:pPr>
              <w:spacing w:after="10" w:before="10" w:line="240" w:lineRule="auto"/>
            </w:pPr>
            <w:r>
              <w:rPr>
                <w:rFonts w:ascii="Arial" w:hAnsi="Arial"/>
                <w:b w:val="0"/>
                <w:i w:val="0"/>
                <w:sz w:val="16"/>
              </w:rPr>
              <w:t>~400</w:t>
            </w:r>
          </w:p>
        </w:tc>
        <w:tc>
          <w:tcPr>
            <w:tcW w:type="dxa" w:w="1733"/>
            <w:tcBorders>
              <w:top w:val="nil"/>
              <w:bottom w:val="single" w:sz="8" w:space="0" w:color="000000"/>
            </w:tcBorders>
          </w:tcPr>
          <w:p>
            <w:pPr>
              <w:spacing w:after="10" w:before="10" w:line="240" w:lineRule="auto"/>
            </w:pPr>
            <w:r>
              <w:rPr>
                <w:rFonts w:ascii="Arial" w:hAnsi="Arial"/>
                <w:b w:val="0"/>
                <w:i w:val="0"/>
                <w:sz w:val="16"/>
              </w:rPr>
              <w:t>2.0–4.0</w:t>
            </w:r>
          </w:p>
        </w:tc>
        <w:tc>
          <w:tcPr>
            <w:tcW w:type="dxa" w:w="1784"/>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A lot of reviews report biopolymer molecular weight as simply "high", when the thing that actually matters is the shape of the whole distribution. The descriptors in normal use are the number-average Mn, the weight-average Mw, the dispersity Đ = Mw/Mn [46], and the degree of polymerisation. Of these, Đ carries the most information, because it is what governs how the material processes and how far its mechanical properties scatter from batch to batch. Mn by itself does neither.</w:t>
      </w:r>
    </w:p>
    <w:p>
      <w:pPr>
        <w:jc w:val="both"/>
      </w:pPr>
      <w:r>
        <w:rPr>
          <w:b w:val="0"/>
          <w:i w:val="0"/>
        </w:rPr>
        <w:t xml:space="preserve">Where Đ ends up is essentially a record of how the polymer was made (Fig. 3). Template synthesis, as in proteins and nucleic acids, gives every chain the same length and a Đ of exactly 1.0. Every other route widens the distribution, by an amount that tracks how tightly the polymerisation is controlled. Natural rubber is the extreme: it is harvested, not grown chain by chain, and its Mw and its distribution move around between </w:t>
      </w:r>
      <w:r>
        <w:rPr>
          <w:i/>
        </w:rPr>
        <w:t>Hevea</w:t>
      </w:r>
      <w:r>
        <w:rPr>
          <w:b w:val="0"/>
          <w:i w:val="0"/>
        </w:rPr>
        <w:t xml:space="preserve"> clones and with the age of the tree [19] in a way that has no synthetic parallel.</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3.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The route from molecular weight to performance runs through chain entanglement. A polymer only reaches its full strength and toughness once the chains are long enough to entangle, which means above a critical value Mc [48]. Below Mc, both properties collapse. Above it, tensile strength climbs with Mn and then flattens out, following a Flory-type relation σ ≈ σ∞ − K/Mn [47]. When a material degrades, the first sign is a drop in molecular weight, and for a while that costs almost no strength; the failure comes suddenly, once the chains fall back below Mc.</w:t>
      </w:r>
    </w:p>
    <w:p>
      <w:pPr>
        <w:jc w:val="both"/>
      </w:pPr>
      <w:r>
        <w:rPr>
          <w:b w:val="0"/>
          <w:i w:val="0"/>
        </w:rPr>
        <w:t>Actually measuring the molecular weight is harder for a biopolymer than for a synthetic one. Cellulose will not dissolve in any standard SEC eluent, so it has to be derivatised first or forced into an aggressive solvent, and even then aggregation and branching pull the result away from an SEC calibrated on linear standards. SEC-MALS and Mark-Houwink viscometry get around the calibration problem, but the Mark-Houwink parameters have never been measured for a lot of biopolymer and solvent combinations. The upshot is that published values for one and the same material often differ by a factor of ten. Most of that spread is an artefact of the method, which is why a number is only worth anything when it is quoted together with how it was obtained.</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3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Section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Section 4.</w:t>
      </w:r>
    </w:p>
    <w:p>
      <w:pPr>
        <w:pStyle w:val="Heading1"/>
      </w:pPr>
      <w:r>
        <w:t>5. General Property Patterns</w:t>
      </w:r>
    </w:p>
    <w:p>
      <w:pPr>
        <w:jc w:val="both"/>
      </w:pPr>
      <w:r>
        <w:rPr>
          <w:b w:val="0"/>
          <w:i w:val="0"/>
        </w:rPr>
        <w:t>Having gone through the families one by one, it is worth stepping back to what they have in common.</w:t>
      </w:r>
    </w:p>
    <w:p>
      <w:pPr>
        <w:pStyle w:val="Heading2"/>
      </w:pPr>
      <w:r>
        <w:t>5.1 Thermal Behaviour</w:t>
      </w:r>
    </w:p>
    <w:p>
      <w:pPr>
        <w:jc w:val="both"/>
      </w:pPr>
      <w:r>
        <w:rPr>
          <w:b w:val="0"/>
          <w:i w:val="0"/>
        </w:rPr>
        <w:t>In most biopolymers, decomposition begins at or below the melting point (Fig. 4a). The cause is the same hydrogen bonding and dense polar-group content that makes them stiff to begin with: it raises the energy needed to melt the crystal until that figure approaches the energy needed to break a backbone bond, and the two processes then run into each other. Cellulose, chitosan and silk fibroin never get as far as melting; they decompose first. Among the polyesters the margin is thin but real: PHB gives a melt-processing window of only about 20 °C, PHBV about 55 °C, and PLLA a little more [44]. Fig. 4a is drawn to the TGA decomposition onset, but in practice the window for PHB and PLLA is tighter than that, because melt hydrolysis (Section 4) sets in before the onset is reached.</w:t>
      </w:r>
    </w:p>
    <w:p>
      <w:pPr>
        <w:jc w:val="both"/>
      </w:pPr>
      <w:r>
        <w:rPr>
          <w:b w:val="0"/>
          <w:i w:val="0"/>
        </w:rPr>
        <w:t>That window also decides how the material is processed. PBS, PLA and PHB can be melt-processed; cellulose and chitosan, with no window to work in, have to be shaped from solution instead, by Lyocell or by dilute-acid spinning. Plasticisers, nucleating agents and compatibilised blends are all, in the end, ways of prising a narrow window open, so a good many of the "performance shortfalls" in the literature are really processing-window shortfalls.</w:t>
      </w:r>
    </w:p>
    <w:p>
      <w:pPr>
        <w:pStyle w:val="Heading2"/>
      </w:pPr>
      <w:r>
        <w:t>5.2 Mechanical Behaviour</w:t>
      </w:r>
    </w:p>
    <w:p>
      <w:pPr>
        <w:jc w:val="both"/>
      </w:pPr>
      <w:r>
        <w:rPr>
          <w:b w:val="0"/>
          <w:i w:val="0"/>
        </w:rPr>
        <w:t>Mechanical behaviour traces to the same place (Fig. 4b). Crystallinity and hydrogen bonding raise the modulus, but they leave the chain with very few flexible segments, so a biopolymer will not draw out before it breaks the way polyethylene or polypropylene does. Most of them therefore land in the same corner of the map: high modulus, low elongation, measured against LDPE, PP and PET [11,43]. Natural rubber is the outlier, with almost no modulus when relaxed and its properties showing up only under load, through SIC (Sections 3.5 and 6.3). The shapes in Fig. 4b are ranges rather than points. Sample form, moisture, crystallinity and thermal history can each move a material's data by as much as a factor of ten, and the same scatter comes back as "batch variability" in Section 6.2.</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4. Thermal and mechanical envelopes, drawn by the authors.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All those polar groups come at a price: they also make the material take up water. Once absorbed, the water plasticises the amorphous fraction and opens up free volume, so barrier performance falls off as humidity climbs. That is the reason a barrier rating for a PLA or starch film only means something when it comes with a storage humidity attached, not as one lone number. Molecular dynamics simulations of oxygen and water moving through PLA reproduce this humidity dependence by following the fractional free volume, and they can screen a film before anyone runs a packaging trial [57,58].</w:t>
      </w:r>
    </w:p>
    <w:p>
      <w:pPr>
        <w:pStyle w:val="Heading2"/>
      </w:pPr>
      <w:r>
        <w:t>5.4 Degradation as a Material Property</w:t>
      </w:r>
    </w:p>
    <w:p>
      <w:pPr>
        <w:jc w:val="both"/>
      </w:pPr>
      <w:r>
        <w:rPr>
          <w:b w:val="0"/>
          <w:i w:val="0"/>
        </w:rPr>
        <w:t>Degradation is a rate process, and structure sets the rate (Fig. 5). Polyesters go by ester hydrolysis that feeds itself: the acid chain end left behind by each scission speeds up the next one, so below a certain part thickness the inside erodes faster than the surface. This is bulk erosion [49]. Polysaccharides and proteins take a different route, through enzymes that can only reach the amorphous segments, so here the rate is set by how much surface is accessible rather than by the bulk chemistry [50]. That is what makes crystallinity the trade-off at the centre of this review. Whatever raises the modulus (Section 5.2) and holds water out (Section 5.3) also holds out the attack that would degrade the material. Quantum-chemical calculations have traced both the base-catalysed path and the water-assisted neutral one, and between them they reproduce why polyesters hydrolyse so much faster in acid or base than at neutral pH [59,60].</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5.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Advantages</w:t>
      </w:r>
    </w:p>
    <w:p>
      <w:pPr>
        <w:jc w:val="both"/>
      </w:pPr>
      <w:r>
        <w:rPr>
          <w:b w:val="0"/>
          <w:i w:val="0"/>
        </w:rPr>
        <w:t>The advantages are structural, like the drawbacks. Only one of them is common to all five families: the feedstock is renewable. Biodegradability matters mainly where the material is likely to end up loose in the environment, such as mulch film, fishing gear or disposable foodware, and there the readiness to hydrolyse or be broken down by enzymes is the point rather than a defect, provided the disposal route matches the material [51] (Section 5.4). Biocompatibility and bioresorbability are what let PLA and PGA sutures [52], and collagen, alginate and chitosan hydrogels and dressings [55], do jobs a commodity synthetic could only reach after expensive modification; this is the one area (Section 7) where biopolymers really are the only practical class, though even there with conditions attached (Section 6.3). And function beyond mechanics, chirality, a charge that responds to pH, bioactivity written into the sequence, arrives with the biological structure for free.</w:t>
      </w:r>
    </w:p>
    <w:p>
      <w:pPr>
        <w:pStyle w:val="Heading2"/>
      </w:pPr>
      <w:r>
        <w:t>6.2 Disadvantages</w:t>
      </w:r>
    </w:p>
    <w:p>
      <w:pPr>
        <w:jc w:val="both"/>
      </w:pPr>
      <w:r>
        <w:rPr>
          <w:b w:val="0"/>
          <w:i w:val="0"/>
        </w:rPr>
        <w:t>The disadvantages are just as structural. On price, PLA usually costs several times what commodity PE and PP cost, and PHA more again [16,53]. On heat, PLA that has not been stereocomplexed (Section 3.2) has a heat deflection temperature of only about 55 to 65 °C, well under the roughly 100 °C of PP [11,13]. Its oxygen and CO₂ barrier is a match for PET, but the water-vapour barrier is worse, and a starch film is worse still [14], so the barrier problem that really bites is moisture sensitivity (Section 5.3), not oxygen getting through. Ageing makes both worse: PHB embrittles in storage as secondary crystallisation proceeds [61], PLA through physical ageing below its Tg [43], starch properties wander with the humidity, and PLA has to be dried before melt processing or its molecular weight runs away (Section 4).</w:t>
      </w:r>
    </w:p>
    <w:p>
      <w:pPr>
        <w:jc w:val="both"/>
      </w:pPr>
      <w:r>
        <w:rPr>
          <w:b w:val="0"/>
          <w:i w:val="0"/>
        </w:rPr>
        <w:t>Sourcing from agriculture also brings a batch-to-batch variability that petrochemical monomers simply do not have: in the M and G fractions of alginate, in the degree of deacetylation of chitosan, in the amylose content of starch, and in the clone and tree age behind natural rubber [19]. Fitting into existing recycling streams is another limit. A 2022 study put PLA at only 0 to 0.019% of PET recycling streams, held down there by near-infrared sorting, and below the roughly 1% level at which it measurably degrades recycled PET [15]. That is a reliance on sorting infrastructure, not an inherent incompatibility.</w:t>
      </w:r>
    </w:p>
    <w:p>
      <w:pPr>
        <w:pStyle w:val="Heading2"/>
      </w:pPr>
      <w:r>
        <w:t>6.3 Case Study: Natural Rubber and a Synthetic Analogue (SBR)</w:t>
      </w:r>
    </w:p>
    <w:p>
      <w:pPr>
        <w:jc w:val="both"/>
      </w:pPr>
      <w:r>
        <w:rPr>
          <w:b w:val="0"/>
          <w:i w:val="0"/>
        </w:rPr>
        <w:t>NR and styrene-butadiene rubber (SBR) are compounded, filled and vulcanised in the same way, and they compete for the same jobs, tyre tread, damping, belting, so whatever separates them has to come from the backbone rather than from processing. That makes it the cleanest same-application comparison in the review. Fig. 6 shows where the difference begins at the scale of the chain; Table 4 scores the two materials on five counts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6. NR and SBR, drawn by the authors. (a) NR cis-1,4-polyisoprene; (b) SBR butadiene unit; (c) SBR styrene unit. (d) Under strain, stereoregular NR aligns into crystalline bundles (strain-induced crystallisation, X-ray confirmed) while SBR's irregular backbone stays amorphous, the basis of the SIC row of Table 4.</w:t>
      </w:r>
    </w:p>
    <w:p>
      <w:pPr>
        <w:spacing w:line="240" w:lineRule="auto" w:after="40"/>
      </w:pPr>
      <w:r>
        <w:rPr>
          <w:b/>
          <w:i w:val="0"/>
          <w:sz w:val="20"/>
        </w:rPr>
        <w:t>Table 4.</w:t>
      </w:r>
      <w:r>
        <w:rPr>
          <w:b w:val="0"/>
          <w:i w:val="0"/>
          <w:sz w:val="20"/>
        </w:rPr>
        <w:t xml:space="preserve"> NR and SBR compared across five dimensions. Each entry is a structural advantage, a formulation- or context-dependent outcome,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With the compounding matched, the SIC in NR gives it the better tear and crack-growth resistance to start with [10,23], and SBR then catches up on wear resistance through reinforcement and cure design [24]. It is the clearest instance in the review of backbone chemistry and formulation trading against each other. The "natural is better" line does not hold up against the literature. NR latex brings a genuine protein-allergy risk that SBR does not [27,28], being renewable is no guarantee of a smaller life-cycle footprint [29,30], and NR has historically been the more volatile of the two on price, for reasons of climate and crop disease that have nothing to do with polymer chemistry [32].</w:t>
      </w:r>
    </w:p>
    <w:p>
      <w:pPr>
        <w:pStyle w:val="Heading1"/>
      </w:pPr>
      <w:r>
        <w:t>7. Applications</w:t>
      </w:r>
    </w:p>
    <w:p>
      <w:pPr>
        <w:jc w:val="both"/>
      </w:pPr>
      <w:r>
        <w:rPr>
          <w:b w:val="0"/>
          <w:i w:val="0"/>
        </w:rPr>
        <w:t>Table 5 sets out each application against the property it calls for and the material that supplies it. Two patterns stand out. Packaging wants an O₂ and an H₂O barrier, toughness, and heat resistance above PLA's heat deflection temperature, all at once (Section 6.2); no single biopolymer covers all three (Section 5.3), so packaging is nearly always multilayer or blended. Biomedical use is the one place where biopolymers come close to being irreplaceable, since they put biocompatibility and a tunable degradation rate in the same material (Section 5.4). Even there, PGA and PLGA sutures still fail mostly through a local drop in pH as their acidic hydrolysis products build up [52,53], and collagen, alginate and chitosan carry that same logic across to scaffolds and bioprinting [55].</w:t>
      </w:r>
    </w:p>
    <w:p>
      <w:pPr>
        <w:spacing w:line="240" w:lineRule="auto" w:after="40"/>
      </w:pPr>
      <w:r>
        <w:rPr>
          <w:b/>
          <w:i w:val="0"/>
          <w:sz w:val="20"/>
        </w:rPr>
        <w:t>Table 5.</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66"/>
        <w:gridCol w:w="3801"/>
        <w:gridCol w:w="2759"/>
      </w:tblGrid>
      <w:tr>
        <w:tc>
          <w:tcPr>
            <w:tcW w:type="dxa" w:w="2366"/>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02"/>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60"/>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66"/>
            <w:tcBorders>
              <w:top w:val="nil"/>
              <w:bottom w:val="nil"/>
            </w:tcBorders>
          </w:tcPr>
          <w:p>
            <w:pPr>
              <w:spacing w:after="10" w:before="10" w:line="240" w:lineRule="auto"/>
            </w:pPr>
            <w:r>
              <w:rPr>
                <w:rFonts w:ascii="Arial" w:hAnsi="Arial"/>
                <w:b w:val="0"/>
                <w:i w:val="0"/>
                <w:sz w:val="16"/>
              </w:rPr>
              <w:t>Food packaging</w:t>
            </w:r>
          </w:p>
        </w:tc>
        <w:tc>
          <w:tcPr>
            <w:tcW w:type="dxa" w:w="3802"/>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60"/>
            <w:tcBorders>
              <w:top w:val="nil"/>
              <w:bottom w:val="nil"/>
            </w:tcBorders>
          </w:tcPr>
          <w:p>
            <w:pPr>
              <w:spacing w:after="10" w:before="10" w:line="240" w:lineRule="auto"/>
            </w:pPr>
            <w:r>
              <w:rPr>
                <w:rFonts w:ascii="Arial" w:hAnsi="Arial"/>
                <w:b w:val="0"/>
                <w:i w:val="0"/>
                <w:sz w:val="16"/>
              </w:rPr>
              <w:t>PLA/PBAT blends; PHA/PLA coatings</w:t>
            </w:r>
          </w:p>
        </w:tc>
      </w:tr>
      <w:tr>
        <w:tc>
          <w:tcPr>
            <w:tcW w:type="dxa" w:w="2366"/>
            <w:tcBorders>
              <w:top w:val="nil"/>
              <w:bottom w:val="nil"/>
            </w:tcBorders>
          </w:tcPr>
          <w:p>
            <w:pPr>
              <w:spacing w:after="10" w:before="10" w:line="240" w:lineRule="auto"/>
            </w:pPr>
            <w:r>
              <w:rPr>
                <w:rFonts w:ascii="Arial" w:hAnsi="Arial"/>
                <w:b w:val="0"/>
                <w:i w:val="0"/>
                <w:sz w:val="16"/>
              </w:rPr>
              <w:t>Compostable foodware / mulch film</w:t>
            </w:r>
          </w:p>
        </w:tc>
        <w:tc>
          <w:tcPr>
            <w:tcW w:type="dxa" w:w="3802"/>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60"/>
            <w:tcBorders>
              <w:top w:val="nil"/>
              <w:bottom w:val="nil"/>
            </w:tcBorders>
          </w:tcPr>
          <w:p>
            <w:pPr>
              <w:spacing w:after="10" w:before="10" w:line="240" w:lineRule="auto"/>
            </w:pPr>
            <w:r>
              <w:rPr>
                <w:rFonts w:ascii="Arial" w:hAnsi="Arial"/>
                <w:b w:val="0"/>
                <w:i w:val="0"/>
                <w:sz w:val="16"/>
              </w:rPr>
              <w:t>PLA, starch blends, PBAT/PLA</w:t>
            </w:r>
          </w:p>
        </w:tc>
      </w:tr>
      <w:tr>
        <w:tc>
          <w:tcPr>
            <w:tcW w:type="dxa" w:w="2366"/>
            <w:tcBorders>
              <w:top w:val="nil"/>
              <w:bottom w:val="nil"/>
            </w:tcBorders>
          </w:tcPr>
          <w:p>
            <w:pPr>
              <w:spacing w:after="10" w:before="10" w:line="240" w:lineRule="auto"/>
            </w:pPr>
            <w:r>
              <w:rPr>
                <w:rFonts w:ascii="Arial" w:hAnsi="Arial"/>
                <w:b w:val="0"/>
                <w:i w:val="0"/>
                <w:sz w:val="16"/>
              </w:rPr>
              <w:t>Sutures / drug release / scaffolds</w:t>
            </w:r>
          </w:p>
        </w:tc>
        <w:tc>
          <w:tcPr>
            <w:tcW w:type="dxa" w:w="3802"/>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60"/>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66"/>
            <w:tcBorders>
              <w:top w:val="nil"/>
              <w:bottom w:val="nil"/>
            </w:tcBorders>
          </w:tcPr>
          <w:p>
            <w:pPr>
              <w:spacing w:after="10" w:before="10" w:line="240" w:lineRule="auto"/>
            </w:pPr>
            <w:r>
              <w:rPr>
                <w:rFonts w:ascii="Arial" w:hAnsi="Arial"/>
                <w:b w:val="0"/>
                <w:i w:val="0"/>
                <w:sz w:val="16"/>
              </w:rPr>
              <w:t>Textile fibre / electronics substrate</w:t>
            </w:r>
          </w:p>
        </w:tc>
        <w:tc>
          <w:tcPr>
            <w:tcW w:type="dxa" w:w="3802"/>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60"/>
            <w:tcBorders>
              <w:top w:val="nil"/>
              <w:bottom w:val="nil"/>
            </w:tcBorders>
          </w:tcPr>
          <w:p>
            <w:pPr>
              <w:spacing w:after="10" w:before="10" w:line="240" w:lineRule="auto"/>
            </w:pPr>
            <w:r>
              <w:rPr>
                <w:rFonts w:ascii="Arial" w:hAnsi="Arial"/>
                <w:b w:val="0"/>
                <w:i w:val="0"/>
                <w:sz w:val="16"/>
              </w:rPr>
              <w:t>Lyocell, PLA fibre, PHA</w:t>
            </w:r>
          </w:p>
        </w:tc>
      </w:tr>
      <w:tr>
        <w:tc>
          <w:tcPr>
            <w:tcW w:type="dxa" w:w="2366"/>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02"/>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60"/>
            <w:tcBorders>
              <w:top w:val="nil"/>
              <w:bottom w:val="single" w:sz="8" w:space="0" w:color="000000"/>
            </w:tcBorders>
          </w:tcPr>
          <w:p>
            <w:pPr>
              <w:spacing w:after="10" w:before="10" w:line="240" w:lineRule="auto"/>
            </w:pPr>
            <w:r>
              <w:rPr>
                <w:rFonts w:ascii="Arial" w:hAnsi="Arial"/>
                <w:b w:val="0"/>
                <w:i w:val="0"/>
                <w:sz w:val="16"/>
              </w:rPr>
              <w:t>Natural rubber, NR/SBR blends (Section 6.3)</w:t>
            </w:r>
          </w:p>
        </w:tc>
      </w:tr>
    </w:tbl>
    <w:p>
      <w:pPr>
        <w:spacing w:after="0" w:line="240" w:lineRule="auto"/>
      </w:pPr>
    </w:p>
    <w:p>
      <w:pPr>
        <w:pStyle w:val="Heading1"/>
      </w:pPr>
      <w:r>
        <w:t>8. Conclusions</w:t>
      </w:r>
    </w:p>
    <w:p>
      <w:pPr>
        <w:jc w:val="both"/>
      </w:pPr>
      <w:r>
        <w:rPr>
          <w:b w:val="0"/>
          <w:i w:val="0"/>
        </w:rPr>
        <w:t>A few things are worth stating plainly at the end. The ceiling on performance is thermal and hygroscopic rather than mechanical (Sections 5.1 and 5.3): on stiffness most of the families match or beat synthetic polymers, and where they fall short is the processing window and moisture. Crystallinity is what ties the trade-off together (Section 5.4), giving stiffness while it keeps out both water and degradative attack, so a gain on any one of the three is paid for on the other two. The natural rubber and SBR comparison (Section 6.3) reaches the same place through compounding alone. And a molecular weight still means very little without the method used to obtain it (Section 4), where the features that make biopolymers awkward to measure are the same ones that decide how they perform.</w:t>
      </w:r>
    </w:p>
    <w:p>
      <w:pPr>
        <w:jc w:val="both"/>
      </w:pPr>
      <w:r>
        <w:rPr>
          <w:b w:val="0"/>
          <w:i w:val="0"/>
        </w:rPr>
        <w:t>Bio-based plastics came to about 2.31 Mt of capacity in 2025, near 0.5% of all plastics [16]. Scale on its own will not deal with the processing window, the sensitivity to humidity or the batch-to-batch variability; the more promising near-term routes are enzymatic depolymerisation back to the monomer [17] and data-driven prediction of properties [56].</w:t>
      </w:r>
    </w:p>
    <w:p>
      <w:pPr>
        <w:pStyle w:val="Heading1"/>
      </w:pPr>
      <w:r>
        <w:t>References</w:t>
      </w:r>
    </w:p>
    <w:p>
      <w:pPr>
        <w:jc w:val="center"/>
      </w:pPr>
      <w:r>
        <w:rPr>
          <w:i/>
        </w:rPr>
        <w:t>61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p>
      <w:pPr>
        <w:spacing w:line="240" w:lineRule="auto" w:after="80"/>
        <w:jc w:val="both"/>
      </w:pPr>
      <w:r>
        <w:rPr>
          <w:b w:val="0"/>
          <w:i w:val="0"/>
        </w:rPr>
        <w:t xml:space="preserve">57. Lightfoot, J. C.; Castro-Dominguez, B.; Buchard, A.; Parker, S. C. A molecular dynamics approach to modelling oxygen diffusion in PLA and PLA clay nanocomposites. </w:t>
      </w:r>
      <w:r>
        <w:rPr>
          <w:i/>
        </w:rPr>
        <w:t>Mater. Adv.</w:t>
      </w:r>
      <w:r>
        <w:rPr>
          <w:b w:val="0"/>
          <w:i w:val="0"/>
        </w:rPr>
        <w:t xml:space="preserve"> </w:t>
      </w:r>
      <w:r>
        <w:rPr>
          <w:b/>
          <w:i w:val="0"/>
        </w:rPr>
        <w:t>2023</w:t>
      </w:r>
      <w:r>
        <w:rPr>
          <w:b w:val="0"/>
          <w:i w:val="0"/>
        </w:rPr>
        <w:t xml:space="preserve">, </w:t>
      </w:r>
      <w:r>
        <w:rPr>
          <w:i/>
        </w:rPr>
        <w:t>4</w:t>
      </w:r>
      <w:r>
        <w:rPr>
          <w:b w:val="0"/>
          <w:i w:val="0"/>
        </w:rPr>
        <w:t>, 2281–2291. DOI: 10.1039/D3MA00158J.</w:t>
      </w:r>
    </w:p>
    <w:p>
      <w:pPr>
        <w:spacing w:line="240" w:lineRule="auto" w:after="80"/>
        <w:jc w:val="both"/>
      </w:pPr>
      <w:r>
        <w:rPr>
          <w:b w:val="0"/>
          <w:i w:val="0"/>
        </w:rPr>
        <w:t xml:space="preserve">58. Wang, X.; Li, J.; Zhang, L. Understanding self-accelerated water diffusion within poly-lactic acid via molecular dynamics simulation. </w:t>
      </w:r>
      <w:r>
        <w:rPr>
          <w:i/>
        </w:rPr>
        <w:t>Chin. J. Chem. Eng.</w:t>
      </w:r>
      <w:r>
        <w:rPr>
          <w:b w:val="0"/>
          <w:i w:val="0"/>
        </w:rPr>
        <w:t xml:space="preserve"> </w:t>
      </w:r>
      <w:r>
        <w:rPr>
          <w:b/>
          <w:i w:val="0"/>
        </w:rPr>
        <w:t>2019</w:t>
      </w:r>
      <w:r>
        <w:rPr>
          <w:b w:val="0"/>
          <w:i w:val="0"/>
        </w:rPr>
        <w:t xml:space="preserve">, </w:t>
      </w:r>
      <w:r>
        <w:rPr>
          <w:i/>
        </w:rPr>
        <w:t>27</w:t>
      </w:r>
      <w:r>
        <w:rPr>
          <w:b w:val="0"/>
          <w:i w:val="0"/>
        </w:rPr>
        <w:t>, 759–764. DOI: 10.1016/j.cjche.2018.09.009.</w:t>
      </w:r>
    </w:p>
    <w:p>
      <w:pPr>
        <w:spacing w:line="240" w:lineRule="auto" w:after="80"/>
        <w:jc w:val="both"/>
      </w:pPr>
      <w:r>
        <w:rPr>
          <w:b w:val="0"/>
          <w:i w:val="0"/>
        </w:rPr>
        <w:t xml:space="preserve">59. Zhan, C.-G.; Landry, D. W.; Ornstein, R. L. Reaction pathways and energy barriers for alkaline hydrolysis of carboxylic acid esters in water studied by a hybrid supermolecule-polarizable continuum approach. </w:t>
      </w:r>
      <w:r>
        <w:rPr>
          <w:i/>
        </w:rPr>
        <w:t>J. Am. Chem. Soc.</w:t>
      </w:r>
      <w:r>
        <w:rPr>
          <w:b w:val="0"/>
          <w:i w:val="0"/>
        </w:rPr>
        <w:t xml:space="preserve"> </w:t>
      </w:r>
      <w:r>
        <w:rPr>
          <w:b/>
          <w:i w:val="0"/>
        </w:rPr>
        <w:t>2000</w:t>
      </w:r>
      <w:r>
        <w:rPr>
          <w:b w:val="0"/>
          <w:i w:val="0"/>
        </w:rPr>
        <w:t xml:space="preserve">, </w:t>
      </w:r>
      <w:r>
        <w:rPr>
          <w:i/>
        </w:rPr>
        <w:t>122</w:t>
      </w:r>
      <w:r>
        <w:rPr>
          <w:b w:val="0"/>
          <w:i w:val="0"/>
        </w:rPr>
        <w:t>, 2621–2627. DOI: 10.1021/ja9937932.</w:t>
      </w:r>
    </w:p>
    <w:p>
      <w:pPr>
        <w:spacing w:line="240" w:lineRule="auto" w:after="80"/>
        <w:jc w:val="both"/>
      </w:pPr>
      <w:r>
        <w:rPr>
          <w:b w:val="0"/>
          <w:i w:val="0"/>
        </w:rPr>
        <w:t xml:space="preserve">60. Yamabe, S.; Tsuchida, N.; Hayashida, Y. Reaction paths of the water-assisted neutral hydrolysis of ethyl acetate. </w:t>
      </w:r>
      <w:r>
        <w:rPr>
          <w:i/>
        </w:rPr>
        <w:t>J. Phys. Chem. A</w:t>
      </w:r>
      <w:r>
        <w:rPr>
          <w:b w:val="0"/>
          <w:i w:val="0"/>
        </w:rPr>
        <w:t xml:space="preserve"> </w:t>
      </w:r>
      <w:r>
        <w:rPr>
          <w:b/>
          <w:i w:val="0"/>
        </w:rPr>
        <w:t>2005</w:t>
      </w:r>
      <w:r>
        <w:rPr>
          <w:b w:val="0"/>
          <w:i w:val="0"/>
        </w:rPr>
        <w:t xml:space="preserve">, </w:t>
      </w:r>
      <w:r>
        <w:rPr>
          <w:i/>
        </w:rPr>
        <w:t>109</w:t>
      </w:r>
      <w:r>
        <w:rPr>
          <w:b w:val="0"/>
          <w:i w:val="0"/>
        </w:rPr>
        <w:t>, 7216–7224. DOI: 10.1021/jp058029i.</w:t>
      </w:r>
    </w:p>
    <w:p>
      <w:pPr>
        <w:spacing w:line="240" w:lineRule="auto" w:after="80"/>
        <w:jc w:val="both"/>
      </w:pPr>
      <w:r>
        <w:rPr>
          <w:b w:val="0"/>
          <w:i w:val="0"/>
        </w:rPr>
        <w:t xml:space="preserve">61. de Koning, G. J. M.; Lemstra, P. J. Crystallization phenomena in bacterial poly[(R)-3-hydroxy- butyrate]: 2. Embrittlement and rejuvenation. </w:t>
      </w:r>
      <w:r>
        <w:rPr>
          <w:i/>
        </w:rPr>
        <w:t>Polymer</w:t>
      </w:r>
      <w:r>
        <w:rPr>
          <w:b w:val="0"/>
          <w:i w:val="0"/>
        </w:rPr>
        <w:t xml:space="preserve"> </w:t>
      </w:r>
      <w:r>
        <w:rPr>
          <w:b/>
          <w:i w:val="0"/>
        </w:rPr>
        <w:t>1993</w:t>
      </w:r>
      <w:r>
        <w:rPr>
          <w:b w:val="0"/>
          <w:i w:val="0"/>
        </w:rPr>
        <w:t xml:space="preserve">, </w:t>
      </w:r>
      <w:r>
        <w:rPr>
          <w:i/>
        </w:rPr>
        <w:t>34</w:t>
      </w:r>
      <w:r>
        <w:rPr>
          <w:b w:val="0"/>
          <w:i w:val="0"/>
        </w:rPr>
        <w:t>, 4089–4094. DOI: 10.1016/0032-3861(93)90671-V.</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