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的完整中文对照翻译，逐节对应，供两位作者核对内容、术语和论证逻辑用。</w:t>
      </w:r>
      <w:r>
        <w:rPr>
          <w:b/>
          <w:i/>
        </w:rPr>
        <w:t>2026-08-28</w:t>
      </w:r>
      <w:r>
        <w:rPr>
          <w:b w:val="0"/>
          <w:i/>
        </w:rPr>
        <w:t xml:space="preserve">：图从 19 张精简到 </w:t>
      </w:r>
      <w:r>
        <w:rPr>
          <w:b/>
          <w:i/>
        </w:rPr>
        <w:t>8 张多面板合集图</w:t>
      </w:r>
      <w:r>
        <w:rPr>
          <w:b w:val="0"/>
          <w:i/>
        </w:rPr>
        <w:t>（真实论文的做法：一个 Figure 多个子面板、一个图注）——旧 Fig 3/6/7/8/9 → 图 3，旧 Fig 4/5 → 图 4，旧热窗口 + Ashby → 图 5，加工流程图删掉、逻辑并进 §6 文字。参考文献补到 56 条（全部 Crossref 核对）。全片 prose 收紧一遍。正文约 11 页（限制 10，仍在压）。以下是更早几轮记录，仅供背景。这一版是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5950" cy="1737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595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局限"的因果链一次性总结在一张图里，下文正文只补充图上放不下的机理细节和引用。所有重复单元汇总在图 3，所有高阶（链、二级、三级）结构汇总在图 4，各小节指向对应面板。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298352" cy="17373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2．结构–性质因果链，每个家族一行：主导分子间作用力 → 关键结果 → 关键局限。表 1 的五类主链在这里显示为七行（多糖、聚酯各拆两行，因为两个成员行为不同）。颜色按主链化学类别，箭头从左到右读作一条因果链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3473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3473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3．§3 讨论的生物聚合物的重复单元，RDKit 从 verify_stereochemistry.py 核对过的 SMILES 绘制，按主链类别配色。多糖（蓝）：(a) 纤维素、(b) 直链淀粉、(c) 壳聚糖、(d) 海藻酸 M、 (e) 海藻酸 G——(a)/(b) 只差 C1（纤维素结晶带状链 vs 直链淀粉水增塑螺旋），(d)/(e) 只差 C5 （M/G 比决定刚性–脆性权衡）。聚酯（橙）：(f) PHB、(g) PLLA，标 (R)/(S)。蛋白（绿）： (h) 丝素 (Gly-Ala)ₙ、(i) 胶原 Gly-Pro-Hyp。木质醇前体（灰）：(j) 对香豆醇、(k) 松柏醇、 (l) 芥子醇（0/1/2 个甲氧基）。橡胶：(m) *顺*-1,4-聚异戊二烯。海藻酸 G 绝对构型只核对了 "是 M 的 C5 差向异构体"，提交前需再核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58808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8808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4．各家族的高阶结构：(a) 纤维素——链内+链间氢键锁成片层、片层范德华堆叠成 Iα/Iβ 晶体，累积内聚能超过主链，所以熔前就在约 300 °C 分解；(b) 直链淀粉左手螺旋，螺旋腔被水/I₂ 增塑；(c) 海藻酸 Ca²⁺"蛋盒"式 G-嵌段结点——离子键、可逆，结点密度（G 含量）决定刚性 vs 脆性；(d) PHA/PLA 螺旋堆积（PHB 2₁、PLLA 10₃）——能结晶但仍能熔的螺旋；(e) 丝素反平行 β-折叠纳米晶体（2–4 nm）分散在柔顺无定形基体中，强度–韧性兼得的来源；(f) 胶原 Gly-X-Y 三螺旋，每第三位的甘氨酸是唯一能塞进拥挤核心的残基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β-(1→4)-D-吡喃葡萄糖（图 3a）——通过氢键把伸展的带状链锁定成片层（Iα、Iβ）[33,34]；正是这套"片层→晶体"层级（图 4a）的内聚能，让它无法熔融加工、只能走溶液路线（NMMO/Lyocell [37]、LiCl/DMAc），而纳米晶体/纳米纤丝利用其沿链轴约 130–150 GPa 的晶体模量 [35] 作为增强填料 [2]。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的直链淀粉/支链淀粉拓扑结构（而非化学组成）解释了它更弱、随湿度可逆变化的结晶度，以及储存时的回生 [38]（TPS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的脱乙酰度（DD）决定溶解性、电荷和抗菌活性 [39]，但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[4]（图 4c），G 含量决定刚性– 脆性权衡（§8）；直链淀粉盘成水增塑螺旋（图 4b），壳聚糖不规则脱乙酰打断纤维素依赖的规则氢键排布、溶解性升而结晶度降。透明质酸、卡拉胶、黄原胶、果胶遵循同样的连接化学逻辑。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是典型代表，图 3f）高度结晶（55–70%），但通过六元环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 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：丙交酯经 Sn(Oct)₂ 配位–插入机理开环聚合 [40,41]，能达到直接缩聚无法达到的有用分子量；PLLA 结晶缓慢，但 PLLA/PDLA 立体复合物通过更紧密的对映体堆积共结晶，Tm 比任一均质晶体高约 50 °C [6,7]。两者都以能熔的螺旋堆积（图 4d）；PBS/PEF 遵循同样的酯键逻辑（§8）。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（图 3h）的强度–韧性兼得来自分散在柔顺无定形基体中的 β-折叠纳米晶体（图 4e）[8]。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三螺旋（图 4f）由羟脯氨酸的立体电子效应稳定 [45]，变性后不可逆地转变为明胶；玉米醇溶蛋白/酪蛋白/大豆蛋白是成膜材料，不是结构材料（§8）。核糖体合成精确固定了每个蛋白质分子的链长和序列（Đ = 1.0） 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jc w:val="both"/>
      </w:pPr>
      <w:r>
        <w:rPr>
          <w:b w:val="0"/>
          <w:i w:val="0"/>
        </w:rPr>
        <w:t>木质素是纤维素的对立面：无定形</w:t>
      </w:r>
      <w:r>
        <w:rPr>
          <w:i/>
        </w:rPr>
        <w:t>正因为</w:t>
      </w:r>
      <w:r>
        <w:rPr>
          <w:b w:val="0"/>
          <w:i w:val="0"/>
        </w:rPr>
        <w:t>不规则。三种单木质醇（图 3j–l）自由基偶联成一个无规交联网络（β-O-4 醚键约占连接方式的 45–60% [9]）、没有周期性链，其组成随植物种类而变，用于工业时还随提取方法而变（硫酸盐法、有机溶剂法、木质素磺酸盐法）[54]——所以不存在单一的 "木质素"结构–性质关系。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 w:val="0"/>
          <w:i w:val="0"/>
        </w:rPr>
        <w:t>天然橡胶（图 3m）是柔性的极端，也是本节"结晶度决定性能"这一逻辑的唯一例外：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5 与本表内部自洽；提交前每一条都必须替换为有文献支撑的数值，并注明测试条件（试样形态、含水量、热历史）。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Mw/Mn（IUPAC 术语 [46]）以及聚合度（DP）是标准的描述量；Đ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6）：模板控制的生物合成让蛋白质和核酸的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032579" cy="1463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2579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 [48]；低于 Mc，强度和韧性会崩塌。在 Mc 之上，拉伸强度随 Mn 上升后趋于饱和（Flory 型关系， σ ≈ σ∞ − K/Mn）[47]，所以降解——最先表现为分子量下降——可以在只造成轻微性能损失的情况下持续一段时间，直到跌回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6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5a）：赋予刚性的同一套网络，同样把熔融所需能量推高到接近断链能量，使两个转变挤在一起——纤维素、壳聚糖和丝素蛋白根本不出现熔融转变。在聚酯家族中，这种"挤在一起"是量的问题：PHB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 [44]（§3.2）。图 5a 保守地画出 TGA 分解起始温度——对 PLLA 和 PHB 而言，实际可用窗口还要更窄，因为熔体水解（§4）会更早开始。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5b）：高结晶度和密集的氢键提高了模量，但也去掉了让聚烯烃能在断裂前拉伸的柔性链段，所以生物聚合物相对于 PE/PP/PET 普遍集中在高模量、低断裂伸长率区间 [11,43]。天然橡胶是例外——静置时几乎没有模量，性能是按需通过 SIC 产生的（§3.5、§7.3）。图 5b 的椭圆画成区间而不是点：样品形态、含水量、结晶度和热历史都能把同一材料的数据挪动一个数量级，这一点会在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6916" cy="1737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6916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分解起始（竖线）画在同一温标上，阴影带是熔融加工窗口（Tm→Td），宽度直接标注——纤维素、天然淀粉、壳聚糖、丝素没有窗口。(b) 模量 vs 断裂伸长率，对数-对数；椭圆是所述试样形态的文献取值区间（不是误差棒），PE/PP/PET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7）。聚酯通过自催化酯水解降解（每次断链产生的酸性端基会催化进一步水解，所以内部比表面降解得更快——制品薄到临界厚度以下即本体侵蚀 [49]，图 7a）；多糖和蛋白质则通过酶解降解，酶只能触及无定形链段，所以速率由可及表面积决定，而不是整体化学 [50]（图 7b）。因此结晶度再次成为本文的核心权衡——设定模量（§5.2）、阻挡吸水（§5.3）的同一个特征，也阻挡了原本会降解材料的攻击。⚙️ 计算得到的酯水解活化能垒次序为碱催化 &lt; 酸催化 &lt; 中性水，与聚酯降解速率对 pH 的依赖一致。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7．两条降解路径：(a) 聚酯主链酯键水解——羧基端自催化进一步水解，所以厚制品从内部先坏（本体侵蚀）；(b) 多糖/蛋白的酶解只能进入无定形区，所以结晶度决定速率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§5.1 的热窗口转化成一个两路决策。如果 Tm 之上、分解/水解起始之下存在稳定的熔融窗口—— PBS（宽）、PLA（须先干燥否则分子量崩塌，§4）、PHB（只有约 25 °C，须严格控温）——就走熔融加工，窗口宽度决定控制严格程度。若没有——纤维素、壳聚糖——只能走溶液路线（NMMO/Lyocell、稀酸溶解 + 湿法/干喷湿纺）。两条路的对策是共通的：增塑剂、成核剂、增容共混（PLA/PBAT、 PLA/TPS）、纳米纤维素增强，都在拓宽已有的那个窗口。由此得到一个反复出现的判断：大多数所谓"性能不足"其实是加工窗口不足，而不是材料本身的性质不足（§5.1–5.2）。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 [51]（§5.4）。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 [52]、胶原蛋白/海藻酸盐水凝胶、壳聚糖敷料 [55] 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是通用 PE/PP 的好几倍价格，PHA 更贵 [16,53]；提交前还需要一份当前市场报告给出材料专属的 $/kg 数字。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以上（§3.2）[13,42]；它的氧气/二氧化碳透过率与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 [43]；淀粉的性质随湿度漂移（§3.1、§5.3），PLA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8 画出链尺度结构起源，表 5 据此对两者在五个维度上打分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44589" cy="1371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4589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与 SBR 结构：(a) NR（*顺*-1,4-聚异戊二烯）、(b) SBR 的 1,4-丁二烯单元、 (c) SBR 的苯乙烯单元（RDKit，已核对 SMILES）；(d) 链尺度上，立构规整的 NR 受力时排列成结晶束（SIC，X 射线证实），SBR 无规主链即使拉伸仍保持无定形——即表 5"SIC 与抗撕裂性" 一行的结构基础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是成熟的缝合线材料，主要失效模式是酸性水解产物导致的局部 pH 下降 [52,53]；胶原蛋白/海藻酸盐/壳聚糖把同样的逻辑延伸到支架和生物打印 [55]。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 [36]）和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 / 聚合物信息学 ML 模型 [56]），缩短主链化学匹配加工窗口的试错周期。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56 条，DOI 均经 Crossref 核对；已满足作业 50–60 条要求)*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。2026-08-28 新增 [33]–[56]，都是给"之前没有引用的既有事实"补的背景来源（纤维素晶体结构与模量、Lyocell 化学、淀粉回生、壳聚糖性质、丙交酯 ROP 机理、PLA 综述、胶原三螺旋、IUPAC 离散度术语、分子量–力学关系、表面/本体侵蚀、酶解机理、PGA/PLGA 医用、木质素炼制、多糖生物材料、聚合物信息学 ML）。 §7.3 的 15 条 NR/SBR 文献来自作者自己整理的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，还有约 3 条未用可备补。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的数值仍需逐行对全文核对；§7.2 价格需要一份当前市场报告给材料专属 $/kg。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