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We used Claude (Anthropic) to draft and revise prose, to write the Python/RDKit/Matplotlib code that generates the figures, to find and cross-check references against Crossref, and to condense the report. The authors checked all chemistry, data and arguments and are responsible for the content and quality of the submitted work.</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covers polymers made by polymerising biomass-derived monomers — chiefly poly(lactic acid) (PLA) — whose properties are best understood alongside the true biopolymers.</w:t>
      </w:r>
    </w:p>
    <w:p>
      <w:pPr>
        <w:jc w:val="both"/>
      </w:pPr>
      <w:r>
        <w:rPr>
          <w:b w:val="0"/>
          <w:i w:val="0"/>
        </w:rPr>
        <w:t>Three structural features set these chains apart from synthetic polymers: template-directed biosynthesis fixes chain length and sequence (proteins and nucleic acids are strictly monodisperse, Đ = 1.00); enantiomerically pure monomer pools make the chains stereoregular by default; and hydroxyl, amide or carbonyl groups on almost every repeat unit push cohesive energy densities well above the polyolefins'. Every property and limitation examined below follows from these three: high stiffness and crystallinity, but also brittleness, water sensitivity, and decomposition that arrives close to or below the melting point (§5.4).</w:t>
      </w:r>
    </w:p>
    <w:p>
      <w:pPr>
        <w:pStyle w:val="Heading1"/>
      </w:pPr>
      <w:r>
        <w:t>2. Types of Biopolymers</w:t>
      </w:r>
    </w:p>
    <w:p>
      <w:pPr>
        <w:jc w:val="both"/>
      </w:pPr>
      <w:r>
        <w:rPr>
          <w:b w:val="0"/>
          <w:i w:val="0"/>
        </w:rPr>
        <w:t xml:space="preserve">Biopolymers are usually classified first by origin — extracted from biomass, synthesised by micro-organisms, or polymerised from bio-based monomers — but origin predicts behaviour poorly: materials of the same origin can process and degrade completely differently, and materials of different origins can behave alike. The repeating backbone linkage is the better predictor, since it sets both melting survival and degradation mechanism, so this review is organised by backbone chemistry (Table 1, Fig. 1); origin is kept only as a secondary tag,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2305950" cy="173736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2305950" cy="173736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families along one axis — backbone flexibility and the intermolecular forces it permits — running from cellulose (an extended, hydrogen-bonded backbone that never melts) to natural rubber (a freely rotating backbone, amorphous until strained). Between them lie polysaccharides with weaker or ionically tunable interchain forces, semicrystalline polyesters that melt-process only within narrow thermal windows, and template-folded proteins whose properties come from defined fold, not chain packing; lignin is the counterpoint — an irregular cross-linked network with no periodic chain. The claim tested throughout: backbone chemistry, not biological origin, predicts melting, hydrolytic/enzymatic susceptibility and mechanical performance (Table 2). Fig. 2 carries the force → consequence → limitation chain for each family, so the text below adds only mechanism and citations. All repeat units are collected in Fig. 3 and all higher-order (chain, secondary, tertiary) structures in Fig. 4; the subsections point to the relevant panels.</w:t>
      </w:r>
    </w:p>
    <w:p>
      <w:pPr>
        <w:keepNext/>
        <w:spacing w:after="40"/>
        <w:jc w:val="center"/>
      </w:pPr>
      <w:r>
        <w:drawing>
          <wp:inline xmlns:a="http://schemas.openxmlformats.org/drawingml/2006/main" xmlns:pic="http://schemas.openxmlformats.org/drawingml/2006/picture">
            <wp:extent cx="2298352" cy="173735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298352" cy="1737359"/>
                    </a:xfrm>
                    <a:prstGeom prst="rect"/>
                  </pic:spPr>
                </pic:pic>
              </a:graphicData>
            </a:graphic>
          </wp:inline>
        </w:drawing>
      </w:r>
    </w:p>
    <w:p>
      <w:pPr>
        <w:spacing w:line="240" w:lineRule="auto" w:after="80"/>
        <w:jc w:val="center"/>
      </w:pPr>
      <w:r>
        <w:rPr>
          <w:i/>
          <w:sz w:val="20"/>
        </w:rPr>
        <w:t>Figure 2. Structure–property causal chain, one row per family: dominant intermolecular force → key consequence → key limitation. The five backbone classes of Table 1 appear as seven rows (polysaccharides and polyesters are each split into two, since their two members behave distinctly). Colour follows the backbone-chemistry class; arrows read left to right as one causal chain per family.</w:t>
      </w:r>
    </w:p>
    <w:p>
      <w:pPr>
        <w:keepNext/>
        <w:spacing w:after="40"/>
        <w:jc w:val="center"/>
      </w:pPr>
      <w:r>
        <w:drawing>
          <wp:inline xmlns:a="http://schemas.openxmlformats.org/drawingml/2006/main" xmlns:pic="http://schemas.openxmlformats.org/drawingml/2006/picture">
            <wp:extent cx="4783473" cy="2926080"/>
            <wp:docPr id="3" name="Picture 3"/>
            <wp:cNvGraphicFramePr>
              <a:graphicFrameLocks noChangeAspect="1"/>
            </wp:cNvGraphicFramePr>
            <a:graphic>
              <a:graphicData uri="http://schemas.openxmlformats.org/drawingml/2006/picture">
                <pic:pic>
                  <pic:nvPicPr>
                    <pic:cNvPr id="0" name="fig_repeat_units_all.png"/>
                    <pic:cNvPicPr/>
                  </pic:nvPicPr>
                  <pic:blipFill>
                    <a:blip r:embed="rId11"/>
                    <a:stretch>
                      <a:fillRect/>
                    </a:stretch>
                  </pic:blipFill>
                  <pic:spPr>
                    <a:xfrm>
                      <a:off x="0" y="0"/>
                      <a:ext cx="4783473" cy="2926080"/>
                    </a:xfrm>
                    <a:prstGeom prst="rect"/>
                  </pic:spPr>
                </pic:pic>
              </a:graphicData>
            </a:graphic>
          </wp:inline>
        </w:drawing>
      </w:r>
    </w:p>
    <w:p>
      <w:pPr>
        <w:spacing w:line="240" w:lineRule="auto" w:after="80"/>
        <w:jc w:val="center"/>
      </w:pPr>
      <w:r>
        <w:rPr>
          <w:i/>
          <w:sz w:val="20"/>
        </w:rPr>
        <w:t>Figure 3. Repeat units of the biopolymers of §3, drawn by the authors with RDKit from stereochemistry-checked SMILES, coloured by backbone class. Polysaccharides: (a) cellulose, (b) amylose, (c) chitosan, (d) alginate M, (e) alginate G — (a)/(b) differ only at C1, (d)/(e) only at C5. Polyesters: (f) PHB, (g) PLLA, (R)/(S) marked. Proteins: (h) silk fibroin (Gly-Ala)ₙ, (i) collagen Gly-Pro-Hyp. Lignin precursors: (j)–(l) p-coumaryl / coniferyl / sinapyl alcohol (0/1/2 methoxy). Rubber: (m) cis-1,4-polyisoprene. Alginate G is verified only as the C5 epimer of M — cross-check before submission.</w:t>
      </w:r>
    </w:p>
    <w:p>
      <w:pPr>
        <w:keepNext/>
        <w:spacing w:after="40"/>
        <w:jc w:val="center"/>
      </w:pPr>
      <w:r>
        <w:drawing>
          <wp:inline xmlns:a="http://schemas.openxmlformats.org/drawingml/2006/main" xmlns:pic="http://schemas.openxmlformats.org/drawingml/2006/picture">
            <wp:extent cx="4858808" cy="2286000"/>
            <wp:docPr id="4" name="Picture 4"/>
            <wp:cNvGraphicFramePr>
              <a:graphicFrameLocks noChangeAspect="1"/>
            </wp:cNvGraphicFramePr>
            <a:graphic>
              <a:graphicData uri="http://schemas.openxmlformats.org/drawingml/2006/picture">
                <pic:pic>
                  <pic:nvPicPr>
                    <pic:cNvPr id="0" name="fig_higher_order_all.png"/>
                    <pic:cNvPicPr/>
                  </pic:nvPicPr>
                  <pic:blipFill>
                    <a:blip r:embed="rId12"/>
                    <a:stretch>
                      <a:fillRect/>
                    </a:stretch>
                  </pic:blipFill>
                  <pic:spPr>
                    <a:xfrm>
                      <a:off x="0" y="0"/>
                      <a:ext cx="4858808" cy="2286000"/>
                    </a:xfrm>
                    <a:prstGeom prst="rect"/>
                  </pic:spPr>
                </pic:pic>
              </a:graphicData>
            </a:graphic>
          </wp:inline>
        </w:drawing>
      </w:r>
    </w:p>
    <w:p>
      <w:pPr>
        <w:spacing w:line="240" w:lineRule="auto" w:after="80"/>
        <w:jc w:val="center"/>
      </w:pPr>
      <w:r>
        <w:rPr>
          <w:i/>
          <w:sz w:val="20"/>
        </w:rPr>
        <w:t>Figure 4. Higher-order structure across the families, drawn by the authors: (a) cellulose — intra- and inter-chain hydrogen bonds lock the ribbon into a sheet, sheets van-der-Waals-stack into the Iα/Iβ crystal, and the cumulative cohesive energy (exceeding the backbone) is why it decomposes near 300 °C before melting; (b) amylose's left-handed helix, cavity plasticised by water/I₂; (c) alginate's Ca²⁺ "egg-box" G-block junction — ionic, reversible, its density setting stiffness vs. brittleness; (d) PHA/PLA helical packing (PHB 2₁, PLLA 10₃) — a helix that crystallises but still melts; (e) silk's antiparallel β-sheet nanocrystallites (2–4 nm) in a compliant amorphous matrix — the source of its strength–toughness combination; (f) collagen's Gly-X-Y triple helix, where glycine at every third position is the only residue small enough for the crowded core.</w:t>
      </w:r>
    </w:p>
    <w:p>
      <w:pPr>
        <w:pStyle w:val="Heading2"/>
      </w:pPr>
      <w:r>
        <w:t>3.1 Polysaccharides</w:t>
      </w:r>
    </w:p>
    <w:p>
      <w:pPr>
        <w:jc w:val="both"/>
      </w:pPr>
      <w:r>
        <w:rPr>
          <w:b w:val="0"/>
          <w:i w:val="0"/>
        </w:rPr>
        <w:t xml:space="preserve">Polysaccharides span the rigid end of the spectrum. </w:t>
      </w:r>
      <w:r>
        <w:rPr>
          <w:b/>
          <w:i w:val="0"/>
        </w:rPr>
        <w:t>Cellulose</w:t>
      </w:r>
      <w:r>
        <w:rPr>
          <w:b w:val="0"/>
          <w:i w:val="0"/>
        </w:rPr>
        <w:t xml:space="preserve"> — linear β-(1→4)-D-glucopyranose (Fig. 3a) — forms an extended ribbon hydrogen-bonded into sheets (Iα, Iβ) [33,34]; the cohesive energy of that sheet-then-crystal hierarchy (Fig. 4a) is why it cannot be melt-processed and is handled only by solution routes (NMMO/Lyocell [37], LiCl/DMAc), while nanocrystals and nanofibrils exploit its ~130–150 GPa axial crystal modulus [35] as fillers [2].</w:t>
      </w:r>
    </w:p>
    <w:p>
      <w:pPr>
        <w:jc w:val="both"/>
      </w:pPr>
      <w:r>
        <w:rPr>
          <w:b/>
          <w:i w:val="0"/>
        </w:rPr>
        <w:t>Starch's</w:t>
      </w:r>
      <w:r>
        <w:rPr>
          <w:b w:val="0"/>
          <w:i w:val="0"/>
        </w:rPr>
        <w:t xml:space="preserve"> amylose/amylopectin topology (not chemistry) gives it weaker, humidity-reversible crystallinity and retrogradation on storage [38] (hence TPS/PLA/PBAT blends). </w:t>
      </w:r>
      <w:r>
        <w:rPr>
          <w:b/>
          <w:i w:val="0"/>
        </w:rPr>
        <w:t>Chitosan's</w:t>
      </w:r>
      <w:r>
        <w:rPr>
          <w:b w:val="0"/>
          <w:i w:val="0"/>
        </w:rPr>
        <w:t xml:space="preserve"> degree of deacetylation (DD) sets solubility, charge and antimicrobial activity [39], but high-DD chitosan is typically low-MW because the alkaline step that raises DD also cleaves the backbone [3]. </w:t>
      </w:r>
      <w:r>
        <w:rPr>
          <w:b/>
          <w:i w:val="0"/>
        </w:rPr>
        <w:t>Alginate</w:t>
      </w:r>
      <w:r>
        <w:rPr>
          <w:b w:val="0"/>
          <w:i w:val="0"/>
        </w:rPr>
        <w:t xml:space="preserve"> gels via Ca²⁺-coordinated "egg-box" GG-blocks [4] (Fig. 4c), G-content setting a stiffness–brittleness trade-off (§8); amylose coils into a water-plasticised helix (Fig. 4b), and chitosan's irregular deacetylation breaks the hydrogen-bond register cellulose relies on, so its solubility rises as crystallinity falls. Hyaluronic acid, carrageenan, xanthan and pectin follow the same linkage-chemistry logic.</w:t>
      </w:r>
    </w:p>
    <w:p>
      <w:pPr>
        <w:pStyle w:val="Heading2"/>
      </w:pPr>
      <w:r>
        <w:t>3.2 Polyesters: PHA and PLA</w:t>
      </w:r>
    </w:p>
    <w:p>
      <w:pPr>
        <w:jc w:val="both"/>
      </w:pPr>
      <w:r>
        <w:rPr>
          <w:b/>
          <w:i w:val="0"/>
        </w:rPr>
        <w:t>PHA</w:t>
      </w:r>
      <w:r>
        <w:rPr>
          <w:b w:val="0"/>
          <w:i w:val="0"/>
        </w:rPr>
        <w:t xml:space="preserve"> (bacterial storage granules; PHB the archetype, Fig. 3f) is highly crystalline (55–70%) but decomposes by six-membered-ring </w:t>
      </w:r>
      <w:r>
        <w:rPr>
          <w:i/>
        </w:rPr>
        <w:t>cis</w:t>
      </w:r>
      <w:r>
        <w:rPr>
          <w:b w:val="0"/>
          <w:i w:val="0"/>
        </w:rPr>
        <w:t xml:space="preserve">-elimination only tens of degrees above Tm [5] — the narrowest processing window here; PHBV/PHBHHx copolymers widen it at the cost of stiffness. </w:t>
      </w:r>
      <w:r>
        <w:rPr>
          <w:b/>
          <w:i w:val="0"/>
        </w:rPr>
        <w:t>PLA</w:t>
      </w:r>
      <w:r>
        <w:rPr>
          <w:b w:val="0"/>
          <w:i w:val="0"/>
        </w:rPr>
        <w:t>: ring-opening polymerisation of lactide by a Sn(Oct)₂ coordination–insertion mechanism [40,41] reaches useful MW where polycondensation cannot; PLLA crystallises slowly, but the PLLA/PDLA stereocomplex co-crystallises ~50 °C above either homocrystal through tighter enantiomeric packing [6,7]. Both pack as helices that still melt (Fig. 4d); PBS and PEF follow the same ester logic (§8).</w:t>
      </w:r>
    </w:p>
    <w:p>
      <w:pPr>
        <w:pStyle w:val="Heading2"/>
      </w:pPr>
      <w:r>
        <w:t>3.3 Protein-based Polymers</w:t>
      </w:r>
    </w:p>
    <w:p>
      <w:pPr>
        <w:jc w:val="both"/>
      </w:pPr>
      <w:r>
        <w:rPr>
          <w:b w:val="0"/>
          <w:i w:val="0"/>
        </w:rPr>
        <w:t xml:space="preserve">Protein properties come from sequence-directed fold, not chain packing. </w:t>
      </w:r>
      <w:r>
        <w:rPr>
          <w:b/>
          <w:i w:val="0"/>
        </w:rPr>
        <w:t>Silk fibroin</w:t>
      </w:r>
      <w:r>
        <w:rPr>
          <w:b w:val="0"/>
          <w:i w:val="0"/>
        </w:rPr>
        <w:t xml:space="preserve"> (Fig. 3h) owes its rare strength–toughness combination to β-sheet nanocrystallites in a compliant amorphous matrix (Fig. 4e) [8]. </w:t>
      </w:r>
      <w:r>
        <w:rPr>
          <w:b/>
          <w:i w:val="0"/>
        </w:rPr>
        <w:t>Collagen's</w:t>
      </w:r>
      <w:r>
        <w:rPr>
          <w:b w:val="0"/>
          <w:i w:val="0"/>
        </w:rPr>
        <w:t xml:space="preserve"> Gly-X-Y triple helix (Fig. 4f), stabilised by the stereoelectronic effect of hydroxyproline [45], denatures irreversibly into gelatin; zein, casein and soy are film-forming, not structural (§8). Ribosomal synthesis fixes every protein molecule's length and sequence exactly (Đ = 1.0) — unmatched by any non-templated biopolymer (§4).</w:t>
      </w:r>
    </w:p>
    <w:p>
      <w:pPr>
        <w:pStyle w:val="Heading2"/>
      </w:pPr>
      <w:r>
        <w:t>3.4 Lignin and Other Aromatics</w:t>
      </w:r>
    </w:p>
    <w:p>
      <w:pPr>
        <w:jc w:val="both"/>
      </w:pPr>
      <w:r>
        <w:rPr>
          <w:b w:val="0"/>
          <w:i w:val="0"/>
        </w:rPr>
        <w:t xml:space="preserve">Lignin is cellulose's counterpoint: amorphous </w:t>
      </w:r>
      <w:r>
        <w:rPr>
          <w:i/>
        </w:rPr>
        <w:t>because</w:t>
      </w:r>
      <w:r>
        <w:rPr>
          <w:b w:val="0"/>
          <w:i w:val="0"/>
        </w:rPr>
        <w:t xml:space="preserve"> irregular. Radical coupling of the three monolignols (Fig. 3j–l) forms a cross-linked network (β-O-4 ether ~45–60% of linkages [9]) with no periodic chain, whose composition varies by species and, industrially, by extraction method — kraft, organosolv, lignosulfonate [54] — so no single "lignin" has one structure–property relationship.</w:t>
      </w:r>
    </w:p>
    <w:p>
      <w:pPr>
        <w:pStyle w:val="Heading2"/>
      </w:pPr>
      <w:r>
        <w:t>3.5 Natural Rubber</w:t>
      </w:r>
    </w:p>
    <w:p>
      <w:pPr>
        <w:jc w:val="both"/>
      </w:pPr>
      <w:r>
        <w:rPr>
          <w:b w:val="0"/>
          <w:i w:val="0"/>
        </w:rPr>
        <w:t xml:space="preserve">Natural rubber (Fig. 3m) is the flexible extreme and the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and largely absent in synthetic </w:t>
      </w:r>
      <w:r>
        <w:rPr>
          <w:i/>
        </w:rPr>
        <w:t>cis</w:t>
      </w:r>
      <w:r>
        <w:rPr>
          <w:b w:val="0"/>
          <w:i w:val="0"/>
        </w:rPr>
        <w:t xml:space="preserve">-polyisoprene [10]. This is not a fixed material constant: NR's molecular weight and its distribution vary measurably between </w:t>
      </w:r>
      <w:r>
        <w:rPr>
          <w:i/>
        </w:rPr>
        <w:t>Hevea</w:t>
      </w:r>
      <w:r>
        <w:rPr>
          <w:b w:val="0"/>
          <w:i w:val="0"/>
        </w:rPr>
        <w:t xml:space="preserve"> clones and with tree age [19], and non-rubber protein/gel content is an active, clone-dependent contributor to the network, not an incidental impurity [18]. The organising variable is therefore not crystallinity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and mechanical properties of the representative biopolymers discussed in §3 (order-of-magnitude ranges, cross-checked against the comparative review of biobased thermoplastics by de Beukelaer et al. [11], for PBS against Aliotta et al. [12], and for PLA against Auras et al. [42] and Farah et al. [43]; Td is the TGA onset of significant mass loss under N₂; "–" = no melting transition; per-row sources in </w:t>
      </w:r>
      <w:r>
        <w:rPr>
          <w:rFonts w:ascii="Consolas" w:hAnsi="Consolas"/>
          <w:i/>
          <w:sz w:val="20"/>
        </w:rPr>
        <w:t>figures/data/*.csv</w:t>
      </w:r>
      <w:r>
        <w:rPr>
          <w:b w:val="0"/>
          <w:i w:val="0"/>
          <w:sz w:val="20"/>
        </w:rPr>
        <w:t>).</w:t>
      </w:r>
    </w:p>
    <w:tbl>
      <w:tblPr>
        <w:tblW w:type="auto" w:w="0"/>
        <w:jc w:val="center"/>
        <w:tblLayout w:type="fixed"/>
        <w:tblLook w:firstColumn="1" w:firstRow="1" w:lastColumn="0" w:lastRow="0" w:noHBand="0" w:noVBand="1" w:val="04A0"/>
        <w:tblLayout w:type="fixed"/>
      </w:tblPr>
      <w:tblGrid>
        <w:gridCol w:w="2211"/>
        <w:gridCol w:w="1017"/>
        <w:gridCol w:w="1017"/>
        <w:gridCol w:w="1151"/>
        <w:gridCol w:w="1738"/>
        <w:gridCol w:w="1792"/>
      </w:tblGrid>
      <w:tr>
        <w:tc>
          <w:tcPr>
            <w:tcW w:type="dxa" w:w="221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Tg (°C)</w:t>
            </w:r>
          </w:p>
        </w:tc>
        <w:tc>
          <w:tcPr>
            <w:tcW w:type="dxa" w:w="1017"/>
            <w:tcBorders>
              <w:top w:val="single" w:sz="8" w:space="0" w:color="000000"/>
              <w:bottom w:val="single" w:sz="8" w:space="0" w:color="000000"/>
            </w:tcBorders>
          </w:tcPr>
          <w:p>
            <w:pPr>
              <w:spacing w:after="10" w:before="10" w:line="240" w:lineRule="auto"/>
            </w:pPr>
            <w:r>
              <w:rPr>
                <w:rFonts w:ascii="Arial" w:hAnsi="Arial"/>
                <w:b/>
                <w:i w:val="0"/>
                <w:sz w:val="16"/>
              </w:rPr>
              <w:t>Tm (°C)</w:t>
            </w:r>
          </w:p>
        </w:tc>
        <w:tc>
          <w:tcPr>
            <w:tcW w:type="dxa" w:w="1151"/>
            <w:tcBorders>
              <w:top w:val="single" w:sz="8" w:space="0" w:color="000000"/>
              <w:bottom w:val="single" w:sz="8" w:space="0" w:color="000000"/>
            </w:tcBorders>
          </w:tcPr>
          <w:p>
            <w:pPr>
              <w:spacing w:after="10" w:before="10" w:line="240" w:lineRule="auto"/>
            </w:pPr>
            <w:r>
              <w:rPr>
                <w:rFonts w:ascii="Arial" w:hAnsi="Arial"/>
                <w:b/>
                <w:i w:val="0"/>
                <w:sz w:val="16"/>
              </w:rPr>
              <w:t>Td onset (°C)</w:t>
            </w:r>
          </w:p>
        </w:tc>
        <w:tc>
          <w:tcPr>
            <w:tcW w:type="dxa" w:w="1739"/>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792"/>
            <w:tcBorders>
              <w:top w:val="single" w:sz="8" w:space="0" w:color="000000"/>
              <w:bottom w:val="single" w:sz="8" w:space="0" w:color="000000"/>
            </w:tcBorders>
          </w:tcPr>
          <w:p>
            <w:pPr>
              <w:spacing w:after="10" w:before="10" w:line="240" w:lineRule="auto"/>
            </w:pPr>
            <w:r>
              <w:rPr>
                <w:rFonts w:ascii="Arial" w:hAnsi="Arial"/>
                <w:b/>
                <w:i w:val="0"/>
                <w:sz w:val="16"/>
              </w:rPr>
              <w:t>Elongation at break (%)</w:t>
            </w:r>
          </w:p>
        </w:tc>
      </w:tr>
      <w:tr>
        <w:tc>
          <w:tcPr>
            <w:tcW w:type="dxa" w:w="2212"/>
            <w:tcBorders>
              <w:top w:val="nil"/>
              <w:bottom w:val="nil"/>
            </w:tcBorders>
          </w:tcPr>
          <w:p>
            <w:pPr>
              <w:spacing w:after="10" w:before="10" w:line="240" w:lineRule="auto"/>
            </w:pPr>
            <w:r>
              <w:rPr>
                <w:rFonts w:ascii="Arial" w:hAnsi="Arial"/>
                <w:b w:val="0"/>
                <w:i w:val="0"/>
                <w:sz w:val="16"/>
              </w:rPr>
              <w:t>Cellulose (regenerated fibre)</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10–30</w:t>
            </w:r>
          </w:p>
        </w:tc>
        <w:tc>
          <w:tcPr>
            <w:tcW w:type="dxa" w:w="1792"/>
            <w:tcBorders>
              <w:top w:val="nil"/>
              <w:bottom w:val="nil"/>
            </w:tcBorders>
          </w:tcPr>
          <w:p>
            <w:pPr>
              <w:spacing w:after="10" w:before="10" w:line="240" w:lineRule="auto"/>
            </w:pPr>
            <w:r>
              <w:rPr>
                <w:rFonts w:ascii="Arial" w:hAnsi="Arial"/>
                <w:b w:val="0"/>
                <w:i w:val="0"/>
                <w:sz w:val="16"/>
              </w:rPr>
              <w:t>8–15</w:t>
            </w:r>
          </w:p>
        </w:tc>
      </w:tr>
      <w:tr>
        <w:tc>
          <w:tcPr>
            <w:tcW w:type="dxa" w:w="2212"/>
            <w:tcBorders>
              <w:top w:val="nil"/>
              <w:bottom w:val="nil"/>
            </w:tcBorders>
          </w:tcPr>
          <w:p>
            <w:pPr>
              <w:spacing w:after="10" w:before="10" w:line="240" w:lineRule="auto"/>
            </w:pPr>
            <w:r>
              <w:rPr>
                <w:rFonts w:ascii="Arial" w:hAnsi="Arial"/>
                <w:b w:val="0"/>
                <w:i w:val="0"/>
                <w:sz w:val="16"/>
              </w:rPr>
              <w:t>Thermoplastic starch</w:t>
            </w:r>
          </w:p>
        </w:tc>
        <w:tc>
          <w:tcPr>
            <w:tcW w:type="dxa" w:w="1017"/>
            <w:tcBorders>
              <w:top w:val="nil"/>
              <w:bottom w:val="nil"/>
            </w:tcBorders>
          </w:tcPr>
          <w:p>
            <w:pPr>
              <w:spacing w:after="10" w:before="10" w:line="240" w:lineRule="auto"/>
            </w:pPr>
            <w:r>
              <w:rPr>
                <w:rFonts w:ascii="Arial" w:hAnsi="Arial"/>
                <w:b w:val="0"/>
                <w:i w:val="0"/>
                <w:sz w:val="16"/>
              </w:rPr>
              <w:t>~−20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0.02–1.0</w:t>
            </w:r>
          </w:p>
        </w:tc>
        <w:tc>
          <w:tcPr>
            <w:tcW w:type="dxa" w:w="1792"/>
            <w:tcBorders>
              <w:top w:val="nil"/>
              <w:bottom w:val="nil"/>
            </w:tcBorders>
          </w:tcPr>
          <w:p>
            <w:pPr>
              <w:spacing w:after="10" w:before="10" w:line="240" w:lineRule="auto"/>
            </w:pPr>
            <w:r>
              <w:rPr>
                <w:rFonts w:ascii="Arial" w:hAnsi="Arial"/>
                <w:b w:val="0"/>
                <w:i w:val="0"/>
                <w:sz w:val="16"/>
              </w:rPr>
              <w:t>20–100</w:t>
            </w:r>
          </w:p>
        </w:tc>
      </w:tr>
      <w:tr>
        <w:tc>
          <w:tcPr>
            <w:tcW w:type="dxa" w:w="2212"/>
            <w:tcBorders>
              <w:top w:val="nil"/>
              <w:bottom w:val="nil"/>
            </w:tcBorders>
          </w:tcPr>
          <w:p>
            <w:pPr>
              <w:spacing w:after="10" w:before="10" w:line="240" w:lineRule="auto"/>
            </w:pPr>
            <w:r>
              <w:rPr>
                <w:rFonts w:ascii="Arial" w:hAnsi="Arial"/>
                <w:b w:val="0"/>
                <w:i w:val="0"/>
                <w:sz w:val="16"/>
              </w:rPr>
              <w:t>Chitosan (film)</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~280</w:t>
            </w:r>
          </w:p>
        </w:tc>
        <w:tc>
          <w:tcPr>
            <w:tcW w:type="dxa" w:w="1739"/>
            <w:tcBorders>
              <w:top w:val="nil"/>
              <w:bottom w:val="nil"/>
            </w:tcBorders>
          </w:tcPr>
          <w:p>
            <w:pPr>
              <w:spacing w:after="10" w:before="10" w:line="240" w:lineRule="auto"/>
            </w:pPr>
            <w:r>
              <w:rPr>
                <w:rFonts w:ascii="Arial" w:hAnsi="Arial"/>
                <w:b w:val="0"/>
                <w:i w:val="0"/>
                <w:sz w:val="16"/>
              </w:rPr>
              <w:t>1.0–4.0</w:t>
            </w:r>
          </w:p>
        </w:tc>
        <w:tc>
          <w:tcPr>
            <w:tcW w:type="dxa" w:w="1792"/>
            <w:tcBorders>
              <w:top w:val="nil"/>
              <w:bottom w:val="nil"/>
            </w:tcBorders>
          </w:tcPr>
          <w:p>
            <w:pPr>
              <w:spacing w:after="10" w:before="10" w:line="240" w:lineRule="auto"/>
            </w:pPr>
            <w:r>
              <w:rPr>
                <w:rFonts w:ascii="Arial" w:hAnsi="Arial"/>
                <w:b w:val="0"/>
                <w:i w:val="0"/>
                <w:sz w:val="16"/>
              </w:rPr>
              <w:t>3–30</w:t>
            </w:r>
          </w:p>
        </w:tc>
      </w:tr>
      <w:tr>
        <w:tc>
          <w:tcPr>
            <w:tcW w:type="dxa" w:w="2212"/>
            <w:tcBorders>
              <w:top w:val="nil"/>
              <w:bottom w:val="nil"/>
            </w:tcBorders>
          </w:tcPr>
          <w:p>
            <w:pPr>
              <w:spacing w:after="10" w:before="10" w:line="240" w:lineRule="auto"/>
            </w:pPr>
            <w:r>
              <w:rPr>
                <w:rFonts w:ascii="Arial" w:hAnsi="Arial"/>
                <w:b w:val="0"/>
                <w:i w:val="0"/>
                <w:sz w:val="16"/>
              </w:rPr>
              <w:t>Silk fibroin (fibre)</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5–17</w:t>
            </w:r>
          </w:p>
        </w:tc>
        <w:tc>
          <w:tcPr>
            <w:tcW w:type="dxa" w:w="1792"/>
            <w:tcBorders>
              <w:top w:val="nil"/>
              <w:bottom w:val="nil"/>
            </w:tcBorders>
          </w:tcPr>
          <w:p>
            <w:pPr>
              <w:spacing w:after="10" w:before="10" w:line="240" w:lineRule="auto"/>
            </w:pPr>
            <w:r>
              <w:rPr>
                <w:rFonts w:ascii="Arial" w:hAnsi="Arial"/>
                <w:b w:val="0"/>
                <w:i w:val="0"/>
                <w:sz w:val="16"/>
              </w:rPr>
              <w:t>15–30</w:t>
            </w:r>
          </w:p>
        </w:tc>
      </w:tr>
      <w:tr>
        <w:tc>
          <w:tcPr>
            <w:tcW w:type="dxa" w:w="2212"/>
            <w:tcBorders>
              <w:top w:val="nil"/>
              <w:bottom w:val="nil"/>
            </w:tcBorders>
          </w:tcPr>
          <w:p>
            <w:pPr>
              <w:spacing w:after="10" w:before="10" w:line="240" w:lineRule="auto"/>
            </w:pPr>
            <w:r>
              <w:rPr>
                <w:rFonts w:ascii="Arial" w:hAnsi="Arial"/>
                <w:b w:val="0"/>
                <w:i w:val="0"/>
                <w:sz w:val="16"/>
              </w:rPr>
              <w:t>PHB (PHBV lowers Tm ~30 °C)</w:t>
            </w:r>
          </w:p>
        </w:tc>
        <w:tc>
          <w:tcPr>
            <w:tcW w:type="dxa" w:w="1017"/>
            <w:tcBorders>
              <w:top w:val="nil"/>
              <w:bottom w:val="nil"/>
            </w:tcBorders>
          </w:tcPr>
          <w:p>
            <w:pPr>
              <w:spacing w:after="10" w:before="10" w:line="240" w:lineRule="auto"/>
            </w:pPr>
            <w:r>
              <w:rPr>
                <w:rFonts w:ascii="Arial" w:hAnsi="Arial"/>
                <w:b w:val="0"/>
                <w:i w:val="0"/>
                <w:sz w:val="16"/>
              </w:rPr>
              <w:t>~4</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~200</w:t>
            </w:r>
          </w:p>
        </w:tc>
        <w:tc>
          <w:tcPr>
            <w:tcW w:type="dxa" w:w="1739"/>
            <w:tcBorders>
              <w:top w:val="nil"/>
              <w:bottom w:val="nil"/>
            </w:tcBorders>
          </w:tcPr>
          <w:p>
            <w:pPr>
              <w:spacing w:after="10" w:before="10" w:line="240" w:lineRule="auto"/>
            </w:pPr>
            <w:r>
              <w:rPr>
                <w:rFonts w:ascii="Arial" w:hAnsi="Arial"/>
                <w:b w:val="0"/>
                <w:i w:val="0"/>
                <w:sz w:val="16"/>
              </w:rPr>
              <w:t>1.5–4.0</w:t>
            </w:r>
          </w:p>
        </w:tc>
        <w:tc>
          <w:tcPr>
            <w:tcW w:type="dxa" w:w="1792"/>
            <w:tcBorders>
              <w:top w:val="nil"/>
              <w:bottom w:val="nil"/>
            </w:tcBorders>
          </w:tcPr>
          <w:p>
            <w:pPr>
              <w:spacing w:after="10" w:before="10" w:line="240" w:lineRule="auto"/>
            </w:pPr>
            <w:r>
              <w:rPr>
                <w:rFonts w:ascii="Arial" w:hAnsi="Arial"/>
                <w:b w:val="0"/>
                <w:i w:val="0"/>
                <w:sz w:val="16"/>
              </w:rPr>
              <w:t>2–8</w:t>
            </w:r>
          </w:p>
        </w:tc>
      </w:tr>
      <w:tr>
        <w:tc>
          <w:tcPr>
            <w:tcW w:type="dxa" w:w="2212"/>
            <w:tcBorders>
              <w:top w:val="nil"/>
              <w:bottom w:val="nil"/>
            </w:tcBorders>
          </w:tcPr>
          <w:p>
            <w:pPr>
              <w:spacing w:after="10" w:before="10" w:line="240" w:lineRule="auto"/>
            </w:pPr>
            <w:r>
              <w:rPr>
                <w:rFonts w:ascii="Arial" w:hAnsi="Arial"/>
                <w:b w:val="0"/>
                <w:i w:val="0"/>
                <w:sz w:val="16"/>
              </w:rPr>
              <w:t>PLLA</w:t>
            </w:r>
          </w:p>
        </w:tc>
        <w:tc>
          <w:tcPr>
            <w:tcW w:type="dxa" w:w="1017"/>
            <w:tcBorders>
              <w:top w:val="nil"/>
              <w:bottom w:val="nil"/>
            </w:tcBorders>
          </w:tcPr>
          <w:p>
            <w:pPr>
              <w:spacing w:after="10" w:before="10" w:line="240" w:lineRule="auto"/>
            </w:pPr>
            <w:r>
              <w:rPr>
                <w:rFonts w:ascii="Arial" w:hAnsi="Arial"/>
                <w:b w:val="0"/>
                <w:i w:val="0"/>
                <w:sz w:val="16"/>
              </w:rPr>
              <w:t>~60</w:t>
            </w:r>
          </w:p>
        </w:tc>
        <w:tc>
          <w:tcPr>
            <w:tcW w:type="dxa" w:w="1017"/>
            <w:tcBorders>
              <w:top w:val="nil"/>
              <w:bottom w:val="nil"/>
            </w:tcBorders>
          </w:tcPr>
          <w:p>
            <w:pPr>
              <w:spacing w:after="10" w:before="10" w:line="240" w:lineRule="auto"/>
            </w:pPr>
            <w:r>
              <w:rPr>
                <w:rFonts w:ascii="Arial" w:hAnsi="Arial"/>
                <w:b w:val="0"/>
                <w:i w:val="0"/>
                <w:sz w:val="16"/>
              </w:rPr>
              <w:t>~175</w:t>
            </w:r>
          </w:p>
        </w:tc>
        <w:tc>
          <w:tcPr>
            <w:tcW w:type="dxa" w:w="1151"/>
            <w:tcBorders>
              <w:top w:val="nil"/>
              <w:bottom w:val="nil"/>
            </w:tcBorders>
          </w:tcPr>
          <w:p>
            <w:pPr>
              <w:spacing w:after="10" w:before="10" w:line="240" w:lineRule="auto"/>
            </w:pPr>
            <w:r>
              <w:rPr>
                <w:rFonts w:ascii="Arial" w:hAnsi="Arial"/>
                <w:b w:val="0"/>
                <w:i w:val="0"/>
                <w:sz w:val="16"/>
              </w:rPr>
              <w:t>~300</w:t>
            </w:r>
          </w:p>
        </w:tc>
        <w:tc>
          <w:tcPr>
            <w:tcW w:type="dxa" w:w="1739"/>
            <w:tcBorders>
              <w:top w:val="nil"/>
              <w:bottom w:val="nil"/>
            </w:tcBorders>
          </w:tcPr>
          <w:p>
            <w:pPr>
              <w:spacing w:after="10" w:before="10" w:line="240" w:lineRule="auto"/>
            </w:pPr>
            <w:r>
              <w:rPr>
                <w:rFonts w:ascii="Arial" w:hAnsi="Arial"/>
                <w:b w:val="0"/>
                <w:i w:val="0"/>
                <w:sz w:val="16"/>
              </w:rPr>
              <w:t>2.5–4.0</w:t>
            </w:r>
          </w:p>
        </w:tc>
        <w:tc>
          <w:tcPr>
            <w:tcW w:type="dxa" w:w="1792"/>
            <w:tcBorders>
              <w:top w:val="nil"/>
              <w:bottom w:val="nil"/>
            </w:tcBorders>
          </w:tcPr>
          <w:p>
            <w:pPr>
              <w:spacing w:after="10" w:before="10" w:line="240" w:lineRule="auto"/>
            </w:pPr>
            <w:r>
              <w:rPr>
                <w:rFonts w:ascii="Arial" w:hAnsi="Arial"/>
                <w:b w:val="0"/>
                <w:i w:val="0"/>
                <w:sz w:val="16"/>
              </w:rPr>
              <w:t>3–10</w:t>
            </w:r>
          </w:p>
        </w:tc>
      </w:tr>
      <w:tr>
        <w:tc>
          <w:tcPr>
            <w:tcW w:type="dxa" w:w="2212"/>
            <w:tcBorders>
              <w:top w:val="nil"/>
              <w:bottom w:val="nil"/>
            </w:tcBorders>
          </w:tcPr>
          <w:p>
            <w:pPr>
              <w:spacing w:after="10" w:before="10" w:line="240" w:lineRule="auto"/>
            </w:pPr>
            <w:r>
              <w:rPr>
                <w:rFonts w:ascii="Arial" w:hAnsi="Arial"/>
                <w:b w:val="0"/>
                <w:i w:val="0"/>
                <w:sz w:val="16"/>
              </w:rPr>
              <w:t>PBS</w:t>
            </w:r>
          </w:p>
        </w:tc>
        <w:tc>
          <w:tcPr>
            <w:tcW w:type="dxa" w:w="1017"/>
            <w:tcBorders>
              <w:top w:val="nil"/>
              <w:bottom w:val="nil"/>
            </w:tcBorders>
          </w:tcPr>
          <w:p>
            <w:pPr>
              <w:spacing w:after="10" w:before="10" w:line="240" w:lineRule="auto"/>
            </w:pPr>
            <w:r>
              <w:rPr>
                <w:rFonts w:ascii="Arial" w:hAnsi="Arial"/>
                <w:b w:val="0"/>
                <w:i w:val="0"/>
                <w:sz w:val="16"/>
              </w:rPr>
              <w:t>~−32</w:t>
            </w:r>
          </w:p>
        </w:tc>
        <w:tc>
          <w:tcPr>
            <w:tcW w:type="dxa" w:w="1017"/>
            <w:tcBorders>
              <w:top w:val="nil"/>
              <w:bottom w:val="nil"/>
            </w:tcBorders>
          </w:tcPr>
          <w:p>
            <w:pPr>
              <w:spacing w:after="10" w:before="10" w:line="240" w:lineRule="auto"/>
            </w:pPr>
            <w:r>
              <w:rPr>
                <w:rFonts w:ascii="Arial" w:hAnsi="Arial"/>
                <w:b w:val="0"/>
                <w:i w:val="0"/>
                <w:sz w:val="16"/>
              </w:rPr>
              <w:t>~114</w:t>
            </w:r>
          </w:p>
        </w:tc>
        <w:tc>
          <w:tcPr>
            <w:tcW w:type="dxa" w:w="1151"/>
            <w:tcBorders>
              <w:top w:val="nil"/>
              <w:bottom w:val="nil"/>
            </w:tcBorders>
          </w:tcPr>
          <w:p>
            <w:pPr>
              <w:spacing w:after="10" w:before="10" w:line="240" w:lineRule="auto"/>
            </w:pPr>
            <w:r>
              <w:rPr>
                <w:rFonts w:ascii="Arial" w:hAnsi="Arial"/>
                <w:b w:val="0"/>
                <w:i w:val="0"/>
                <w:sz w:val="16"/>
              </w:rPr>
              <w:t>~350</w:t>
            </w:r>
          </w:p>
        </w:tc>
        <w:tc>
          <w:tcPr>
            <w:tcW w:type="dxa" w:w="1739"/>
            <w:tcBorders>
              <w:top w:val="nil"/>
              <w:bottom w:val="nil"/>
            </w:tcBorders>
          </w:tcPr>
          <w:p>
            <w:pPr>
              <w:spacing w:after="10" w:before="10" w:line="240" w:lineRule="auto"/>
            </w:pPr>
            <w:r>
              <w:rPr>
                <w:rFonts w:ascii="Arial" w:hAnsi="Arial"/>
                <w:b w:val="0"/>
                <w:i w:val="0"/>
                <w:sz w:val="16"/>
              </w:rPr>
              <w:t>0.3–0.7</w:t>
            </w:r>
          </w:p>
        </w:tc>
        <w:tc>
          <w:tcPr>
            <w:tcW w:type="dxa" w:w="1792"/>
            <w:tcBorders>
              <w:top w:val="nil"/>
              <w:bottom w:val="nil"/>
            </w:tcBorders>
          </w:tcPr>
          <w:p>
            <w:pPr>
              <w:spacing w:after="10" w:before="10" w:line="240" w:lineRule="auto"/>
            </w:pPr>
            <w:r>
              <w:rPr>
                <w:rFonts w:ascii="Arial" w:hAnsi="Arial"/>
                <w:b w:val="0"/>
                <w:i w:val="0"/>
                <w:sz w:val="16"/>
              </w:rPr>
              <w:t>200–500</w:t>
            </w:r>
          </w:p>
        </w:tc>
      </w:tr>
      <w:tr>
        <w:tc>
          <w:tcPr>
            <w:tcW w:type="dxa" w:w="2212"/>
            <w:tcBorders>
              <w:top w:val="nil"/>
              <w:bottom w:val="nil"/>
            </w:tcBorders>
          </w:tcPr>
          <w:p>
            <w:pPr>
              <w:spacing w:after="10" w:before="10" w:line="240" w:lineRule="auto"/>
            </w:pPr>
            <w:r>
              <w:rPr>
                <w:rFonts w:ascii="Arial" w:hAnsi="Arial"/>
                <w:b w:val="0"/>
                <w:i w:val="0"/>
                <w:sz w:val="16"/>
              </w:rPr>
              <w:t>Natural rubber (vulcanised)</w:t>
            </w:r>
          </w:p>
        </w:tc>
        <w:tc>
          <w:tcPr>
            <w:tcW w:type="dxa" w:w="1017"/>
            <w:tcBorders>
              <w:top w:val="nil"/>
              <w:bottom w:val="nil"/>
            </w:tcBorders>
          </w:tcPr>
          <w:p>
            <w:pPr>
              <w:spacing w:after="10" w:before="10" w:line="240" w:lineRule="auto"/>
            </w:pPr>
            <w:r>
              <w:rPr>
                <w:rFonts w:ascii="Arial" w:hAnsi="Arial"/>
                <w:b w:val="0"/>
                <w:i w:val="0"/>
                <w:sz w:val="16"/>
              </w:rPr>
              <w:t>~−70</w:t>
            </w:r>
          </w:p>
        </w:tc>
        <w:tc>
          <w:tcPr>
            <w:tcW w:type="dxa" w:w="1017"/>
            <w:tcBorders>
              <w:top w:val="nil"/>
              <w:bottom w:val="nil"/>
            </w:tcBorders>
          </w:tcPr>
          <w:p>
            <w:pPr>
              <w:spacing w:after="10" w:before="10" w:line="240" w:lineRule="auto"/>
            </w:pPr>
            <w:r>
              <w:rPr>
                <w:rFonts w:ascii="Arial" w:hAnsi="Arial"/>
                <w:b w:val="0"/>
                <w:i w:val="0"/>
                <w:sz w:val="16"/>
              </w:rPr>
              <w:t>–</w:t>
            </w:r>
          </w:p>
        </w:tc>
        <w:tc>
          <w:tcPr>
            <w:tcW w:type="dxa" w:w="1151"/>
            <w:tcBorders>
              <w:top w:val="nil"/>
              <w:bottom w:val="nil"/>
            </w:tcBorders>
          </w:tcPr>
          <w:p>
            <w:pPr>
              <w:spacing w:after="10" w:before="10" w:line="240" w:lineRule="auto"/>
            </w:pPr>
            <w:r>
              <w:rPr>
                <w:rFonts w:ascii="Arial" w:hAnsi="Arial"/>
                <w:b w:val="0"/>
                <w:i w:val="0"/>
                <w:sz w:val="16"/>
              </w:rPr>
              <w:t>–</w:t>
            </w:r>
          </w:p>
        </w:tc>
        <w:tc>
          <w:tcPr>
            <w:tcW w:type="dxa" w:w="1739"/>
            <w:tcBorders>
              <w:top w:val="nil"/>
              <w:bottom w:val="nil"/>
            </w:tcBorders>
          </w:tcPr>
          <w:p>
            <w:pPr>
              <w:spacing w:after="10" w:before="10" w:line="240" w:lineRule="auto"/>
            </w:pPr>
            <w:r>
              <w:rPr>
                <w:rFonts w:ascii="Arial" w:hAnsi="Arial"/>
                <w:b w:val="0"/>
                <w:i w:val="0"/>
                <w:sz w:val="16"/>
              </w:rPr>
              <w:t>0.001–0.005</w:t>
            </w:r>
          </w:p>
        </w:tc>
        <w:tc>
          <w:tcPr>
            <w:tcW w:type="dxa" w:w="1792"/>
            <w:tcBorders>
              <w:top w:val="nil"/>
              <w:bottom w:val="nil"/>
            </w:tcBorders>
          </w:tcPr>
          <w:p>
            <w:pPr>
              <w:spacing w:after="10" w:before="10" w:line="240" w:lineRule="auto"/>
            </w:pPr>
            <w:r>
              <w:rPr>
                <w:rFonts w:ascii="Arial" w:hAnsi="Arial"/>
                <w:b w:val="0"/>
                <w:i w:val="0"/>
                <w:sz w:val="16"/>
              </w:rPr>
              <w:t>500–800</w:t>
            </w:r>
          </w:p>
        </w:tc>
      </w:tr>
      <w:tr>
        <w:tc>
          <w:tcPr>
            <w:tcW w:type="dxa" w:w="2212"/>
            <w:tcBorders>
              <w:top w:val="nil"/>
              <w:bottom w:val="single" w:sz="8" w:space="0" w:color="000000"/>
            </w:tcBorders>
          </w:tcPr>
          <w:p>
            <w:pPr>
              <w:spacing w:after="10" w:before="10" w:line="240" w:lineRule="auto"/>
            </w:pPr>
            <w:r>
              <w:rPr>
                <w:rFonts w:ascii="Arial" w:hAnsi="Arial"/>
                <w:b w:val="0"/>
                <w:i w:val="0"/>
                <w:sz w:val="16"/>
              </w:rPr>
              <w:t>PET (fossil reference)</w:t>
            </w:r>
          </w:p>
        </w:tc>
        <w:tc>
          <w:tcPr>
            <w:tcW w:type="dxa" w:w="1017"/>
            <w:tcBorders>
              <w:top w:val="nil"/>
              <w:bottom w:val="single" w:sz="8" w:space="0" w:color="000000"/>
            </w:tcBorders>
          </w:tcPr>
          <w:p>
            <w:pPr>
              <w:spacing w:after="10" w:before="10" w:line="240" w:lineRule="auto"/>
            </w:pPr>
            <w:r>
              <w:rPr>
                <w:rFonts w:ascii="Arial" w:hAnsi="Arial"/>
                <w:b w:val="0"/>
                <w:i w:val="0"/>
                <w:sz w:val="16"/>
              </w:rPr>
              <w:t>~78</w:t>
            </w:r>
          </w:p>
        </w:tc>
        <w:tc>
          <w:tcPr>
            <w:tcW w:type="dxa" w:w="1017"/>
            <w:tcBorders>
              <w:top w:val="nil"/>
              <w:bottom w:val="single" w:sz="8" w:space="0" w:color="000000"/>
            </w:tcBorders>
          </w:tcPr>
          <w:p>
            <w:pPr>
              <w:spacing w:after="10" w:before="10" w:line="240" w:lineRule="auto"/>
            </w:pPr>
            <w:r>
              <w:rPr>
                <w:rFonts w:ascii="Arial" w:hAnsi="Arial"/>
                <w:b w:val="0"/>
                <w:i w:val="0"/>
                <w:sz w:val="16"/>
              </w:rPr>
              <w:t>~255</w:t>
            </w:r>
          </w:p>
        </w:tc>
        <w:tc>
          <w:tcPr>
            <w:tcW w:type="dxa" w:w="1151"/>
            <w:tcBorders>
              <w:top w:val="nil"/>
              <w:bottom w:val="single" w:sz="8" w:space="0" w:color="000000"/>
            </w:tcBorders>
          </w:tcPr>
          <w:p>
            <w:pPr>
              <w:spacing w:after="10" w:before="10" w:line="240" w:lineRule="auto"/>
            </w:pPr>
            <w:r>
              <w:rPr>
                <w:rFonts w:ascii="Arial" w:hAnsi="Arial"/>
                <w:b w:val="0"/>
                <w:i w:val="0"/>
                <w:sz w:val="16"/>
              </w:rPr>
              <w:t>~400</w:t>
            </w:r>
          </w:p>
        </w:tc>
        <w:tc>
          <w:tcPr>
            <w:tcW w:type="dxa" w:w="1739"/>
            <w:tcBorders>
              <w:top w:val="nil"/>
              <w:bottom w:val="single" w:sz="8" w:space="0" w:color="000000"/>
            </w:tcBorders>
          </w:tcPr>
          <w:p>
            <w:pPr>
              <w:spacing w:after="10" w:before="10" w:line="240" w:lineRule="auto"/>
            </w:pPr>
            <w:r>
              <w:rPr>
                <w:rFonts w:ascii="Arial" w:hAnsi="Arial"/>
                <w:b w:val="0"/>
                <w:i w:val="0"/>
                <w:sz w:val="16"/>
              </w:rPr>
              <w:t>2.0–4.0</w:t>
            </w:r>
          </w:p>
        </w:tc>
        <w:tc>
          <w:tcPr>
            <w:tcW w:type="dxa" w:w="1792"/>
            <w:tcBorders>
              <w:top w:val="nil"/>
              <w:bottom w:val="single" w:sz="8" w:space="0" w:color="000000"/>
            </w:tcBorders>
          </w:tcPr>
          <w:p>
            <w:pPr>
              <w:spacing w:after="10" w:before="10" w:line="240" w:lineRule="auto"/>
            </w:pPr>
            <w:r>
              <w:rPr>
                <w:rFonts w:ascii="Arial" w:hAnsi="Arial"/>
                <w:b w:val="0"/>
                <w:i w:val="0"/>
                <w:sz w:val="16"/>
              </w:rPr>
              <w:t>50–300</w:t>
            </w:r>
          </w:p>
        </w:tc>
      </w:tr>
    </w:tbl>
    <w:p>
      <w:pPr>
        <w:spacing w:after="0" w:line="240" w:lineRule="auto"/>
      </w:pPr>
    </w:p>
    <w:p>
      <w:pPr>
        <w:jc w:val="both"/>
      </w:pPr>
      <w:r>
        <w:rPr>
          <w:i/>
        </w:rPr>
        <w:t>All values PROVISIONAL — teaching-level ranges used to keep Fig. 5 and this table internally consistent; each must be replaced with a cited literature value, matched to a stated test condition (sample form, moisture, thermal history), before submission.</w:t>
      </w:r>
    </w:p>
    <w:p>
      <w:pPr>
        <w:pStyle w:val="Heading1"/>
      </w:pPr>
      <w:r>
        <w:t>4. Molecular Weight and Its Measurement</w:t>
      </w:r>
    </w:p>
    <w:p>
      <w:pPr>
        <w:jc w:val="both"/>
      </w:pPr>
      <w:r>
        <w:rPr>
          <w:b w:val="0"/>
          <w:i w:val="0"/>
        </w:rPr>
        <w:t xml:space="preserve">Most surveys report molecular weight casually — "high molecular weight" — but the </w:t>
      </w:r>
      <w:r>
        <w:rPr>
          <w:i/>
        </w:rPr>
        <w:t>distribution</w:t>
      </w:r>
      <w:r>
        <w:rPr>
          <w:b w:val="0"/>
          <w:i w:val="0"/>
        </w:rPr>
        <w:t xml:space="preserve">, not the average, is where the biology shows. Of the standard descriptors (Mn, Mw, dispersity Đ = Mw/Mn [46], DP), Đ matters most: it, not Mn alone, sets processing behaviour and the spread of mechanical properties within a batch. </w:t>
      </w:r>
      <w:r>
        <w:rPr>
          <w:b/>
          <w:i w:val="0"/>
        </w:rPr>
        <w:t>Dispersity is a readout of synthesis mechanism, not noise</w:t>
      </w:r>
      <w:r>
        <w:rPr>
          <w:b w:val="0"/>
          <w:i w:val="0"/>
        </w:rPr>
        <w:t xml:space="preserve"> (Fig. 6): template-controlled biosynthesis gives proteins and nucleic acids Đ = 1.0 exactly, while every non-templated route — extraction (cellulose, chitosan, natural rubber) or catalysed polymerisation (PHA, PLA) — broadens the distribution in proportion to how loosely it is controlled. Natural rubber is the extreme: because it is extracted, not chain-grown, its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3032579" cy="1463040"/>
            <wp:docPr id="5" name="Picture 5"/>
            <wp:cNvGraphicFramePr>
              <a:graphicFrameLocks noChangeAspect="1"/>
            </wp:cNvGraphicFramePr>
            <a:graphic>
              <a:graphicData uri="http://schemas.openxmlformats.org/drawingml/2006/picture">
                <pic:pic>
                  <pic:nvPicPr>
                    <pic:cNvPr id="0" name="fig9_dispersity.png"/>
                    <pic:cNvPicPr/>
                  </pic:nvPicPr>
                  <pic:blipFill>
                    <a:blip r:embed="rId13"/>
                    <a:stretch>
                      <a:fillRect/>
                    </a:stretch>
                  </pic:blipFill>
                  <pic:spPr>
                    <a:xfrm>
                      <a:off x="0" y="0"/>
                      <a:ext cx="3032579" cy="1463040"/>
                    </a:xfrm>
                    <a:prstGeom prst="rect"/>
                  </pic:spPr>
                </pic:pic>
              </a:graphicData>
            </a:graphic>
          </wp:inline>
        </w:drawing>
      </w:r>
    </w:p>
    <w:p>
      <w:pPr>
        <w:spacing w:line="240" w:lineRule="auto" w:after="80"/>
        <w:jc w:val="center"/>
      </w:pPr>
      <w:r>
        <w:rPr>
          <w:i/>
          <w:sz w:val="20"/>
        </w:rPr>
        <w:t>Figure 6. Dispersity Đ across families (colour by backbone class): an exact point at Đ = 1 for templated biosynthesis, literature ranges for PLA/PHA/chitosan/cellulose, and an open arrow for natural rubber, whose Đ is not consistently quantified.</w:t>
      </w:r>
    </w:p>
    <w:p>
      <w:pPr>
        <w:jc w:val="both"/>
      </w:pPr>
      <w:r>
        <w:rPr>
          <w:b/>
          <w:i w:val="0"/>
        </w:rPr>
        <w:t>Why molecular weight controls performance.</w:t>
      </w:r>
      <w:r>
        <w:rPr>
          <w:b w:val="0"/>
          <w:i w:val="0"/>
        </w:rPr>
        <w:t xml:space="preserve"> Mechanical integrity depends on chain entanglement above a characteristic Mc [48]; below it, strength and toughness collapse. Above Mc, tensile strength rises with Mn then saturates (Flory-type, σ ≈ σ∞ − K/Mn) [47], so degradation — first seen as falling MW — causes only modest property loss until it crosses back below Mc, where performance collapses abruptly (relevant to §7–§8). </w:t>
      </w:r>
      <w:r>
        <w:rPr>
          <w:b/>
          <w:i w:val="0"/>
        </w:rPr>
        <w:t>Measuring</w:t>
      </w:r>
      <w:r>
        <w:rPr>
          <w:b w:val="0"/>
          <w:i w:val="0"/>
        </w:rPr>
        <w:t xml:space="preserve"> biopolymer MW is also harder: cellulose dissolves in no standard SEC eluent, needing derivatisation or aggressive solvents, and aggregation and branching distort SEC calibrated against linear standards. SEC-MALS or Mark–Houwink viscometry are more defensible, but Mark–Houwink parameters are missing for many biopolymer/solvent pairs. Reported MW for one material therefore often spans an order of magnitude in the literature — an artefact of method more than real variation, so a MW figure is only comparable alongside its method.</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6 instead of repeated here).</w:t>
      </w:r>
    </w:p>
    <w:tbl>
      <w:tblPr>
        <w:tblW w:type="auto" w:w="0"/>
        <w:jc w:val="center"/>
        <w:tblLayout w:type="fixed"/>
        <w:tblLook w:firstColumn="1" w:firstRow="1" w:lastColumn="0" w:lastRow="0" w:noHBand="0" w:noVBand="1" w:val="04A0"/>
        <w:tblLayout w:type="fixed"/>
      </w:tblPr>
      <w:tblGrid>
        <w:gridCol w:w="2260"/>
        <w:gridCol w:w="3046"/>
        <w:gridCol w:w="3621"/>
      </w:tblGrid>
      <w:tr>
        <w:tc>
          <w:tcPr>
            <w:tcW w:type="dxa" w:w="2260"/>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3047"/>
            <w:tcBorders>
              <w:top w:val="single" w:sz="8" w:space="0" w:color="000000"/>
              <w:bottom w:val="single" w:sz="8" w:space="0" w:color="000000"/>
            </w:tcBorders>
          </w:tcPr>
          <w:p>
            <w:pPr>
              <w:spacing w:after="10" w:before="10" w:line="240" w:lineRule="auto"/>
            </w:pPr>
            <w:r>
              <w:rPr>
                <w:rFonts w:ascii="Arial" w:hAnsi="Arial"/>
                <w:b/>
                <w:i w:val="0"/>
                <w:sz w:val="16"/>
              </w:rPr>
              <w:t>Typical Mn (g mol⁻¹)</w:t>
            </w:r>
          </w:p>
        </w:tc>
        <w:tc>
          <w:tcPr>
            <w:tcW w:type="dxa" w:w="3621"/>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260"/>
            <w:tcBorders>
              <w:top w:val="nil"/>
              <w:bottom w:val="nil"/>
            </w:tcBorders>
          </w:tcPr>
          <w:p>
            <w:pPr>
              <w:spacing w:after="10" w:before="10" w:line="240" w:lineRule="auto"/>
            </w:pPr>
            <w:r>
              <w:rPr>
                <w:rFonts w:ascii="Arial" w:hAnsi="Arial"/>
                <w:b w:val="0"/>
                <w:i w:val="0"/>
                <w:sz w:val="16"/>
              </w:rPr>
              <w:t>Proteins / DNA / RNA</w:t>
            </w:r>
          </w:p>
        </w:tc>
        <w:tc>
          <w:tcPr>
            <w:tcW w:type="dxa" w:w="3047"/>
            <w:tcBorders>
              <w:top w:val="nil"/>
              <w:bottom w:val="nil"/>
            </w:tcBorders>
          </w:tcPr>
          <w:p>
            <w:pPr>
              <w:spacing w:after="10" w:before="10" w:line="240" w:lineRule="auto"/>
            </w:pPr>
            <w:r>
              <w:rPr>
                <w:rFonts w:ascii="Arial" w:hAnsi="Arial"/>
                <w:b w:val="0"/>
                <w:i w:val="0"/>
                <w:sz w:val="16"/>
              </w:rPr>
              <w:t>sequence-specific</w:t>
            </w:r>
          </w:p>
        </w:tc>
        <w:tc>
          <w:tcPr>
            <w:tcW w:type="dxa" w:w="3621"/>
            <w:tcBorders>
              <w:top w:val="nil"/>
              <w:bottom w:val="nil"/>
            </w:tcBorders>
          </w:tcPr>
          <w:p>
            <w:pPr>
              <w:spacing w:after="10" w:before="10" w:line="240" w:lineRule="auto"/>
            </w:pPr>
            <w:r>
              <w:rPr>
                <w:rFonts w:ascii="Arial" w:hAnsi="Arial"/>
                <w:b w:val="0"/>
                <w:i w:val="0"/>
                <w:sz w:val="16"/>
              </w:rPr>
              <w:t>mass spectrometry (none — templated)</w:t>
            </w:r>
          </w:p>
        </w:tc>
      </w:tr>
      <w:tr>
        <w:tc>
          <w:tcPr>
            <w:tcW w:type="dxa" w:w="2260"/>
            <w:tcBorders>
              <w:top w:val="nil"/>
              <w:bottom w:val="nil"/>
            </w:tcBorders>
          </w:tcPr>
          <w:p>
            <w:pPr>
              <w:spacing w:after="10" w:before="10" w:line="240" w:lineRule="auto"/>
            </w:pPr>
            <w:r>
              <w:rPr>
                <w:rFonts w:ascii="Arial" w:hAnsi="Arial"/>
                <w:b w:val="0"/>
                <w:i w:val="0"/>
                <w:sz w:val="16"/>
              </w:rPr>
              <w:t>Cellulose</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viscometry / SEC-MALS after derivatisation (SEC-insoluble)</w:t>
            </w:r>
          </w:p>
        </w:tc>
      </w:tr>
      <w:tr>
        <w:tc>
          <w:tcPr>
            <w:tcW w:type="dxa" w:w="2260"/>
            <w:tcBorders>
              <w:top w:val="nil"/>
              <w:bottom w:val="nil"/>
            </w:tcBorders>
          </w:tcPr>
          <w:p>
            <w:pPr>
              <w:spacing w:after="10" w:before="10" w:line="240" w:lineRule="auto"/>
            </w:pPr>
            <w:r>
              <w:rPr>
                <w:rFonts w:ascii="Arial" w:hAnsi="Arial"/>
                <w:b w:val="0"/>
                <w:i w:val="0"/>
                <w:sz w:val="16"/>
              </w:rPr>
              <w:t>Chitosan</w:t>
            </w:r>
          </w:p>
        </w:tc>
        <w:tc>
          <w:tcPr>
            <w:tcW w:type="dxa" w:w="3047"/>
            <w:tcBorders>
              <w:top w:val="nil"/>
              <w:bottom w:val="nil"/>
            </w:tcBorders>
          </w:tcPr>
          <w:p>
            <w:pPr>
              <w:spacing w:after="10" w:before="10" w:line="240" w:lineRule="auto"/>
            </w:pPr>
            <w:r>
              <w:rPr>
                <w:rFonts w:ascii="Arial" w:hAnsi="Arial"/>
                <w:b w:val="0"/>
                <w:i w:val="0"/>
                <w:sz w:val="16"/>
              </w:rPr>
              <w:t>10⁴–10⁶</w:t>
            </w:r>
          </w:p>
        </w:tc>
        <w:tc>
          <w:tcPr>
            <w:tcW w:type="dxa" w:w="3621"/>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260"/>
            <w:tcBorders>
              <w:top w:val="nil"/>
              <w:bottom w:val="nil"/>
            </w:tcBorders>
          </w:tcPr>
          <w:p>
            <w:pPr>
              <w:spacing w:after="10" w:before="10" w:line="240" w:lineRule="auto"/>
            </w:pPr>
            <w:r>
              <w:rPr>
                <w:rFonts w:ascii="Arial" w:hAnsi="Arial"/>
                <w:b w:val="0"/>
                <w:i w:val="0"/>
                <w:sz w:val="16"/>
              </w:rPr>
              <w:t>PHA (PHB/PHBV)</w:t>
            </w:r>
          </w:p>
        </w:tc>
        <w:tc>
          <w:tcPr>
            <w:tcW w:type="dxa" w:w="3047"/>
            <w:tcBorders>
              <w:top w:val="nil"/>
              <w:bottom w:val="nil"/>
            </w:tcBorders>
          </w:tcPr>
          <w:p>
            <w:pPr>
              <w:spacing w:after="10" w:before="10" w:line="240" w:lineRule="auto"/>
            </w:pPr>
            <w:r>
              <w:rPr>
                <w:rFonts w:ascii="Arial" w:hAnsi="Arial"/>
                <w:b w:val="0"/>
                <w:i w:val="0"/>
                <w:sz w:val="16"/>
              </w:rPr>
              <w:t>10⁵–10⁶</w:t>
            </w:r>
          </w:p>
        </w:tc>
        <w:tc>
          <w:tcPr>
            <w:tcW w:type="dxa" w:w="3621"/>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260"/>
            <w:tcBorders>
              <w:top w:val="nil"/>
              <w:bottom w:val="nil"/>
            </w:tcBorders>
          </w:tcPr>
          <w:p>
            <w:pPr>
              <w:spacing w:after="10" w:before="10" w:line="240" w:lineRule="auto"/>
            </w:pPr>
            <w:r>
              <w:rPr>
                <w:rFonts w:ascii="Arial" w:hAnsi="Arial"/>
                <w:b w:val="0"/>
                <w:i w:val="0"/>
                <w:sz w:val="16"/>
              </w:rPr>
              <w:t>PLA</w:t>
            </w:r>
          </w:p>
        </w:tc>
        <w:tc>
          <w:tcPr>
            <w:tcW w:type="dxa" w:w="3047"/>
            <w:tcBorders>
              <w:top w:val="nil"/>
              <w:bottom w:val="nil"/>
            </w:tcBorders>
          </w:tcPr>
          <w:p>
            <w:pPr>
              <w:spacing w:after="10" w:before="10" w:line="240" w:lineRule="auto"/>
            </w:pPr>
            <w:r>
              <w:rPr>
                <w:rFonts w:ascii="Arial" w:hAnsi="Arial"/>
                <w:b w:val="0"/>
                <w:i w:val="0"/>
                <w:sz w:val="16"/>
              </w:rPr>
              <w:t>10⁴–10⁵</w:t>
            </w:r>
          </w:p>
        </w:tc>
        <w:tc>
          <w:tcPr>
            <w:tcW w:type="dxa" w:w="3621"/>
            <w:tcBorders>
              <w:top w:val="nil"/>
              <w:bottom w:val="nil"/>
            </w:tcBorders>
          </w:tcPr>
          <w:p>
            <w:pPr>
              <w:spacing w:after="10" w:before="10" w:line="240" w:lineRule="auto"/>
            </w:pPr>
            <w:r>
              <w:rPr>
                <w:rFonts w:ascii="Arial" w:hAnsi="Arial"/>
                <w:b w:val="0"/>
                <w:i w:val="0"/>
                <w:sz w:val="16"/>
              </w:rPr>
              <w:t>GPC/SEC (in-process moisture hydrolysis)</w:t>
            </w:r>
          </w:p>
        </w:tc>
      </w:tr>
      <w:tr>
        <w:tc>
          <w:tcPr>
            <w:tcW w:type="dxa" w:w="2260"/>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047"/>
            <w:tcBorders>
              <w:top w:val="nil"/>
              <w:bottom w:val="single" w:sz="8" w:space="0" w:color="000000"/>
            </w:tcBorders>
          </w:tcPr>
          <w:p>
            <w:pPr>
              <w:spacing w:after="10" w:before="10" w:line="240" w:lineRule="auto"/>
            </w:pPr>
            <w:r>
              <w:rPr>
                <w:rFonts w:ascii="Arial" w:hAnsi="Arial"/>
                <w:b w:val="0"/>
                <w:i w:val="0"/>
                <w:sz w:val="16"/>
              </w:rPr>
              <w:t>&gt;10⁶</w:t>
            </w:r>
          </w:p>
        </w:tc>
        <w:tc>
          <w:tcPr>
            <w:tcW w:type="dxa" w:w="3621"/>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Mn ranges are teaching-level approximations; confirm each against a primary source before submission. The method column and its limitations are supported by refs [39,46] and the SEC/MALS discussion in §4.</w:t>
      </w:r>
    </w:p>
    <w:p>
      <w:pPr>
        <w:pStyle w:val="Heading1"/>
      </w:pPr>
      <w:r>
        <w:t>5. General Property Patterns</w:t>
      </w:r>
    </w:p>
    <w:p>
      <w:pPr>
        <w:jc w:val="both"/>
      </w:pPr>
      <w:r>
        <w:rPr>
          <w:b w:val="0"/>
          <w:i w:val="0"/>
        </w:rPr>
        <w:t>Section 3 examined each family in turn; this section turns the same evidence sideways to ask what holds across all of them.</w:t>
      </w:r>
    </w:p>
    <w:p>
      <w:pPr>
        <w:pStyle w:val="Heading2"/>
      </w:pPr>
      <w:r>
        <w:t>5.1 Thermal Behaviour</w:t>
      </w:r>
    </w:p>
    <w:p>
      <w:pPr>
        <w:jc w:val="both"/>
      </w:pPr>
      <w:r>
        <w:rPr>
          <w:b w:val="0"/>
          <w:i w:val="0"/>
        </w:rPr>
        <w:t>A decomposition temperature at or below the melting point is close to the rule (Fig. 5a): the same network that gives stiffness raises the melting energy toward the bond-breaking energy, crowding the two transitions — cellulose, chitosan and silk fibroin never melt at all. Among the polyesters the crowding is quantitative: PHB's window is only ~25 °C, PHBV's ~55 °C, PLLA's wider still [44]. Fig. 5a plots the TGA onset, so the usable window for PLLA and PHB is narrower still, since melt hydrolysis (§4) sets in earlier.</w:t>
      </w:r>
    </w:p>
    <w:p>
      <w:pPr>
        <w:pStyle w:val="Heading2"/>
      </w:pPr>
      <w:r>
        <w:t>5.2 Mechanical Behaviour</w:t>
      </w:r>
    </w:p>
    <w:p>
      <w:pPr>
        <w:jc w:val="both"/>
      </w:pPr>
      <w:r>
        <w:rPr>
          <w:b w:val="0"/>
          <w:i w:val="0"/>
        </w:rPr>
        <w:t>The same logic sets the mechanical envelope (Fig. 5b): high crystallinity and dense hydrogen bonding raise modulus but remove the flexible segments that let polyolefins draw before breaking, so biopolymers sit at high modulus, low elongation relative to PE/PP/PET [11,43]. Natural rubber is the exception — no modulus at rest, performance generated on demand by SIC (§3.5, §7.3). The ellipses in Fig. 5b are ranges, not points: sample form, moisture, crystallinity and thermal history each move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3786916" cy="1737360"/>
            <wp:docPr id="6" name="Picture 6"/>
            <wp:cNvGraphicFramePr>
              <a:graphicFrameLocks noChangeAspect="1"/>
            </wp:cNvGraphicFramePr>
            <a:graphic>
              <a:graphicData uri="http://schemas.openxmlformats.org/drawingml/2006/picture">
                <pic:pic>
                  <pic:nvPicPr>
                    <pic:cNvPr id="0" name="fig_property_maps.png"/>
                    <pic:cNvPicPr/>
                  </pic:nvPicPr>
                  <pic:blipFill>
                    <a:blip r:embed="rId14"/>
                    <a:stretch>
                      <a:fillRect/>
                    </a:stretch>
                  </pic:blipFill>
                  <pic:spPr>
                    <a:xfrm>
                      <a:off x="0" y="0"/>
                      <a:ext cx="3786916" cy="1737360"/>
                    </a:xfrm>
                    <a:prstGeom prst="rect"/>
                  </pic:spPr>
                </pic:pic>
              </a:graphicData>
            </a:graphic>
          </wp:inline>
        </w:drawing>
      </w:r>
    </w:p>
    <w:p>
      <w:pPr>
        <w:spacing w:line="240" w:lineRule="auto" w:after="80"/>
        <w:jc w:val="center"/>
      </w:pPr>
      <w:r>
        <w:rPr>
          <w:i/>
          <w:sz w:val="20"/>
        </w:rPr>
        <w:t>Figure 5. Thermal and mechanical envelopes, drawn by the authors from `figures/data/*.csv`. (a) Tg (open circle), Tm (diamond) and TGA decomposition onset (bar) on one axis; the shaded band is the melt-processing window (Tm→Td), its width labelled — cellulose, native starch, chitosan and silk have none. (b) Modulus vs. elongation at break (log–log); ellipses span literature values for the stated sample form (not error bars), PE/PP/PET for reference.</w:t>
      </w:r>
    </w:p>
    <w:p>
      <w:pPr>
        <w:pStyle w:val="Heading2"/>
      </w:pPr>
      <w:r>
        <w:t>5.3 Hydrophilicity and Barrier Properties</w:t>
      </w:r>
    </w:p>
    <w:p>
      <w:pPr>
        <w:jc w:val="both"/>
      </w:pPr>
      <w:r>
        <w:rPr>
          <w:b w:val="0"/>
          <w:i w:val="0"/>
        </w:rPr>
        <w:t>The polar groups behind the strength of §5.1–5.2 have a third consequence: strong hygroscopicity. Absorbed water plasticises the amorphous fraction and swells free volume, so barrier performance falls as humidity rises — which is why PLA and starch films must carry a storage-humidity condition, not a fixed barrier rating. ⚙️ Atomistic free-volume/diffusion modelling can predict this ahead of a packaging trial.</w:t>
      </w:r>
    </w:p>
    <w:p>
      <w:pPr>
        <w:pStyle w:val="Heading2"/>
      </w:pPr>
      <w:r>
        <w:t>5.4 Degradation as a Material Property</w:t>
      </w:r>
    </w:p>
    <w:p>
      <w:pPr>
        <w:jc w:val="both"/>
      </w:pPr>
      <w:r>
        <w:rPr>
          <w:b w:val="0"/>
          <w:i w:val="0"/>
        </w:rPr>
        <w:t>Degradation is a rate process governed by structure (Fig. 7). Polyesters degrade by autocatalytic ester hydrolysis — each scission's acid end accelerates the next, so interiors erode faster than surfaces once the part is below a critical thickness (bulk erosion [49]); polysaccharides and proteins degrade by enzymatic attack, which reaches only amorphous segments, so rate is set by accessible surface area, not bulk chemistry [50]. Crystallinity is therefore the report's central trade-off: the feature that sets modulus (§5.2) and blocks water uptake (§5.3) also blocks the attack that would degrade the material. ⚙️ Computed ester-hydrolysis barriers fall in the order base-catalysed &lt; acid-catalysed &lt; neutral, matching the observed pH-dependence of the rate.</w:t>
      </w:r>
    </w:p>
    <w:p>
      <w:pPr>
        <w:keepNext/>
        <w:spacing w:after="40"/>
        <w:jc w:val="center"/>
      </w:pPr>
      <w:r>
        <w:drawing>
          <wp:inline xmlns:a="http://schemas.openxmlformats.org/drawingml/2006/main" xmlns:pic="http://schemas.openxmlformats.org/drawingml/2006/picture">
            <wp:extent cx="5055837" cy="1188720"/>
            <wp:docPr id="7" name="Picture 7"/>
            <wp:cNvGraphicFramePr>
              <a:graphicFrameLocks noChangeAspect="1"/>
            </wp:cNvGraphicFramePr>
            <a:graphic>
              <a:graphicData uri="http://schemas.openxmlformats.org/drawingml/2006/picture">
                <pic:pic>
                  <pic:nvPicPr>
                    <pic:cNvPr id="0" name="fig_degradation.png"/>
                    <pic:cNvPicPr/>
                  </pic:nvPicPr>
                  <pic:blipFill>
                    <a:blip r:embed="rId15"/>
                    <a:stretch>
                      <a:fillRect/>
                    </a:stretch>
                  </pic:blipFill>
                  <pic:spPr>
                    <a:xfrm>
                      <a:off x="0" y="0"/>
                      <a:ext cx="5055837" cy="1188720"/>
                    </a:xfrm>
                    <a:prstGeom prst="rect"/>
                  </pic:spPr>
                </pic:pic>
              </a:graphicData>
            </a:graphic>
          </wp:inline>
        </w:drawing>
      </w:r>
    </w:p>
    <w:p>
      <w:pPr>
        <w:spacing w:line="240" w:lineRule="auto" w:after="80"/>
        <w:jc w:val="center"/>
      </w:pPr>
      <w:r>
        <w:rPr>
          <w:i/>
          <w:sz w:val="20"/>
        </w:rPr>
        <w:t>Figure 7. Two degradation routes, drawn by the authors: (a) polyester ester hydrolysis — the acid end group autocatalyses further scission, so thick parts erode from the inside (bulk erosion); (b) enzymatic attack on polysaccharides/proteins reaches only amorphous regions, so crystallinity sets the rate.</w:t>
      </w:r>
    </w:p>
    <w:p>
      <w:pPr>
        <w:pStyle w:val="Heading1"/>
      </w:pPr>
      <w:r>
        <w:t>6. Processing</w:t>
      </w:r>
    </w:p>
    <w:p>
      <w:pPr>
        <w:jc w:val="both"/>
      </w:pPr>
      <w:r>
        <w:rPr>
          <w:b w:val="0"/>
          <w:i w:val="0"/>
        </w:rPr>
        <w:t>The thermal windows of §5.1 become a two-way processing decision. If a stable melt window exists above Tm and below the decomposition/hydrolysis onset — PBS (wide), PLA (must be dried first or MW collapses, §4), PHB (only ~25 °C, so tight thermal control) — the material is melt-processed, and the window width sets how tightly. If not — cellulose, chitosan — only solution routes work (NMMO/Lyocell, dilute-acid dissolution and wet/dry-jet spinning). Either way the countermeasures are shared: plasticisers, nucleating agents, compatibilised blends (PLA/PBAT, PLA/TPS) and nanocellulose reinforcement all widen whichever window exists. The recurring judgement: most reported "performance shortfalls" are processing-window shortfalls, not material-property shortfalls (§5.1–5.2).</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to §3. </w:t>
      </w:r>
      <w:r>
        <w:rPr>
          <w:b/>
          <w:i w:val="0"/>
        </w:rPr>
        <w:t>Renewable feedstock</w:t>
      </w:r>
      <w:r>
        <w:rPr>
          <w:b w:val="0"/>
          <w:i w:val="0"/>
        </w:rPr>
        <w:t xml:space="preserve"> is the only one uniform across all five families. </w:t>
      </w:r>
      <w:r>
        <w:rPr>
          <w:b/>
          <w:i w:val="0"/>
        </w:rPr>
        <w:t>Biodegradability in leakage-prone contexts</w:t>
      </w:r>
      <w:r>
        <w:rPr>
          <w:b w:val="0"/>
          <w:i w:val="0"/>
        </w:rPr>
        <w:t xml:space="preserve"> (mulch film, fishing gear, disposable foodware) turns hydrolytic/enzymatic susceptibility from a burden into a desired property when the environment matches the material [51] (§5.4). </w:t>
      </w:r>
      <w:r>
        <w:rPr>
          <w:b/>
          <w:i w:val="0"/>
        </w:rPr>
        <w:t>Biocompatibility and bioresorbability</w:t>
      </w:r>
      <w:r>
        <w:rPr>
          <w:b w:val="0"/>
          <w:i w:val="0"/>
        </w:rPr>
        <w:t xml:space="preserve"> let PLA/PGA sutures [52] and collagen/alginate/chitosan hydrogels and dressings [55] do what commodity synthetics cannot without costly modification — the one space (§8) where biopolymers are the only viable class, though not unconditionally (§7.3). And </w:t>
      </w:r>
      <w:r>
        <w:rPr>
          <w:b/>
          <w:i w:val="0"/>
        </w:rPr>
        <w:t>intrinsic functionality beyond mechanics</w:t>
      </w:r>
      <w:r>
        <w:rPr>
          <w:b w:val="0"/>
          <w:i w:val="0"/>
        </w:rPr>
        <w:t xml:space="preserve"> — chirality, pH-responsive charge, sequence-encoded bioactivity — comes free with the biological structure.</w:t>
      </w:r>
    </w:p>
    <w:p>
      <w:pPr>
        <w:pStyle w:val="Heading2"/>
      </w:pPr>
      <w:r>
        <w:t>7.2 Where They Lose — Stated with Numbers, Not Adjectives</w:t>
      </w:r>
    </w:p>
    <w:p>
      <w:pPr>
        <w:pStyle w:val="ListBullet"/>
      </w:pPr>
      <w:r>
        <w:rPr>
          <w:b/>
          <w:i w:val="0"/>
        </w:rPr>
        <w:t>Price.</w:t>
      </w:r>
      <w:r>
        <w:rPr>
          <w:b w:val="0"/>
          <w:i w:val="0"/>
        </w:rPr>
        <w:t xml:space="preserve"> PLA is several times the price of commodity PE/PP, PHA higher still [16,53]; a material-specific $/kg figure still needs a current market report.</w:t>
      </w:r>
    </w:p>
    <w:p>
      <w:pPr>
        <w:pStyle w:val="ListBullet"/>
      </w:pPr>
      <w:r>
        <w:rPr>
          <w:b/>
          <w:i w:val="0"/>
        </w:rPr>
        <w:t>Heat/barrier.</w:t>
      </w:r>
      <w:r>
        <w:rPr>
          <w:b w:val="0"/>
          <w:i w:val="0"/>
        </w:rPr>
        <w:t xml:space="preserve"> PLA's HDT (~55–65 °C) sits well below PP's ~100 °C+ without stereocomplexation (§3.2) [13,42]; its O₂/CO₂ transmission matches PET's, but water-vapour barrier is worse, and starch films worse again [14] — the real critique is moisture sensitivity (§5.3), not an oxygen deficit.</w:t>
      </w:r>
    </w:p>
    <w:p>
      <w:pPr>
        <w:pStyle w:val="ListBullet"/>
      </w:pPr>
      <w:r>
        <w:rPr>
          <w:b/>
          <w:i w:val="0"/>
        </w:rPr>
        <w:t>Brittleness/hygroscopicity.</w:t>
      </w:r>
      <w:r>
        <w:rPr>
          <w:b w:val="0"/>
          <w:i w:val="0"/>
        </w:rPr>
        <w:t xml:space="preserve"> PHB's secondary crystallisation and PLA's sub-Tg ageing embrittle on storage [43]; starch drifts with humidity, and PLA must be dried before melt processing or MW drops uncontrollably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kept by NIR sorting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in the same applications (tyre tread, damping, belting) — the cleanest same-application comparison here, since differences trace to backbone chemistry, not processing. Fig. 8 shows the chain-scale origin (SIC); Table 5 scores both across five dimensions [10,18–32].</w:t>
      </w:r>
    </w:p>
    <w:p>
      <w:pPr>
        <w:keepNext/>
        <w:spacing w:after="40"/>
        <w:jc w:val="center"/>
      </w:pPr>
      <w:r>
        <w:drawing>
          <wp:inline xmlns:a="http://schemas.openxmlformats.org/drawingml/2006/main" xmlns:pic="http://schemas.openxmlformats.org/drawingml/2006/picture">
            <wp:extent cx="3644589" cy="1371600"/>
            <wp:docPr id="8" name="Picture 8"/>
            <wp:cNvGraphicFramePr>
              <a:graphicFrameLocks noChangeAspect="1"/>
            </wp:cNvGraphicFramePr>
            <a:graphic>
              <a:graphicData uri="http://schemas.openxmlformats.org/drawingml/2006/picture">
                <pic:pic>
                  <pic:nvPicPr>
                    <pic:cNvPr id="0" name="fig8_nr_sbr_comparison.png"/>
                    <pic:cNvPicPr/>
                  </pic:nvPicPr>
                  <pic:blipFill>
                    <a:blip r:embed="rId16"/>
                    <a:stretch>
                      <a:fillRect/>
                    </a:stretch>
                  </pic:blipFill>
                  <pic:spPr>
                    <a:xfrm>
                      <a:off x="0" y="0"/>
                      <a:ext cx="3644589" cy="1371600"/>
                    </a:xfrm>
                    <a:prstGeom prst="rect"/>
                  </pic:spPr>
                </pic:pic>
              </a:graphicData>
            </a:graphic>
          </wp:inline>
        </w:drawing>
      </w:r>
    </w:p>
    <w:p>
      <w:pPr>
        <w:spacing w:line="240" w:lineRule="auto" w:after="80"/>
        <w:jc w:val="center"/>
      </w:pPr>
      <w:r>
        <w:rPr>
          <w:i/>
          <w:sz w:val="20"/>
        </w:rPr>
        <w:t>Figure 8. NR vs. SBR, drawn by the authors: (a) NR (cis-1,4-polyisoprene), (b) SBR 1,4-butadiene unit, (c) SBR styrene unit; (d) at chain scale, stereoregular NR aligns into crystalline bundles under strain (SIC, X-ray confirmed) while SBR's irregular backbone stays amorphous — the basis of Table 5's "SIC &amp; tear resistance" row.</w:t>
      </w:r>
    </w:p>
    <w:p>
      <w:pPr>
        <w:spacing w:line="240" w:lineRule="auto" w:after="40"/>
      </w:pPr>
      <w:r>
        <w:rPr>
          <w:b/>
          <w:i w:val="0"/>
          <w:sz w:val="20"/>
        </w:rPr>
        <w:t>Table 5.</w:t>
      </w:r>
      <w:r>
        <w:rPr>
          <w:b w:val="0"/>
          <w:i w:val="0"/>
          <w:sz w:val="20"/>
        </w:rPr>
        <w:t xml:space="preserve"> NR vs. SBR — structurally favourable / formulation- or context-dependent / documented risk.</w:t>
      </w:r>
    </w:p>
    <w:tbl>
      <w:tblPr>
        <w:tblW w:type="auto" w:w="0"/>
        <w:jc w:val="center"/>
        <w:tblLayout w:type="fixed"/>
        <w:tblLook w:firstColumn="1" w:firstRow="1" w:lastColumn="0" w:lastRow="0" w:noHBand="0" w:noVBand="1" w:val="04A0"/>
        <w:tblLayout w:type="fixed"/>
      </w:tblPr>
      <w:tblGrid>
        <w:gridCol w:w="2497"/>
        <w:gridCol w:w="3166"/>
        <w:gridCol w:w="3263"/>
      </w:tblGrid>
      <w:tr>
        <w:tc>
          <w:tcPr>
            <w:tcW w:type="dxa" w:w="2497"/>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167"/>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64"/>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97"/>
            <w:tcBorders>
              <w:top w:val="nil"/>
              <w:bottom w:val="nil"/>
            </w:tcBorders>
          </w:tcPr>
          <w:p>
            <w:pPr>
              <w:spacing w:after="10" w:before="10" w:line="240" w:lineRule="auto"/>
            </w:pPr>
            <w:r>
              <w:rPr>
                <w:rFonts w:ascii="Arial" w:hAnsi="Arial"/>
                <w:b w:val="0"/>
                <w:i w:val="0"/>
                <w:sz w:val="16"/>
              </w:rPr>
              <w:t>Structure / MW control</w:t>
            </w:r>
          </w:p>
        </w:tc>
        <w:tc>
          <w:tcPr>
            <w:tcW w:type="dxa" w:w="3167"/>
            <w:tcBorders>
              <w:top w:val="nil"/>
              <w:bottom w:val="nil"/>
            </w:tcBorders>
          </w:tcPr>
          <w:p>
            <w:pPr>
              <w:spacing w:after="10" w:before="10" w:line="240" w:lineRule="auto"/>
            </w:pPr>
            <w:r>
              <w:rPr>
                <w:rFonts w:ascii="Arial" w:hAnsi="Arial"/>
                <w:b w:val="0"/>
                <w:i w:val="0"/>
                <w:sz w:val="16"/>
              </w:rPr>
              <w:t>Extracted; varies by clone &amp; tree age [19]</w:t>
            </w:r>
          </w:p>
        </w:tc>
        <w:tc>
          <w:tcPr>
            <w:tcW w:type="dxa" w:w="3264"/>
            <w:tcBorders>
              <w:top w:val="nil"/>
              <w:bottom w:val="nil"/>
            </w:tcBorders>
          </w:tcPr>
          <w:p>
            <w:pPr>
              <w:spacing w:after="10" w:before="10" w:line="240" w:lineRule="auto"/>
            </w:pPr>
            <w:r>
              <w:rPr>
                <w:rFonts w:ascii="Arial" w:hAnsi="Arial"/>
                <w:b w:val="0"/>
                <w:i w:val="0"/>
                <w:sz w:val="16"/>
              </w:rPr>
              <w:t>Engineered by emulsion/solution copolymerisation [20,21]</w:t>
            </w:r>
          </w:p>
        </w:tc>
      </w:tr>
      <w:tr>
        <w:tc>
          <w:tcPr>
            <w:tcW w:type="dxa" w:w="2497"/>
            <w:tcBorders>
              <w:top w:val="nil"/>
              <w:bottom w:val="nil"/>
            </w:tcBorders>
          </w:tcPr>
          <w:p>
            <w:pPr>
              <w:spacing w:after="10" w:before="10" w:line="240" w:lineRule="auto"/>
            </w:pPr>
            <w:r>
              <w:rPr>
                <w:rFonts w:ascii="Arial" w:hAnsi="Arial"/>
                <w:b w:val="0"/>
                <w:i w:val="0"/>
                <w:sz w:val="16"/>
              </w:rPr>
              <w:t>SIC &amp; tear resistance</w:t>
            </w:r>
          </w:p>
        </w:tc>
        <w:tc>
          <w:tcPr>
            <w:tcW w:type="dxa" w:w="3167"/>
            <w:tcBorders>
              <w:top w:val="nil"/>
              <w:bottom w:val="nil"/>
            </w:tcBorders>
          </w:tcPr>
          <w:p>
            <w:pPr>
              <w:spacing w:after="10" w:before="10" w:line="240" w:lineRule="auto"/>
            </w:pPr>
            <w:r>
              <w:rPr>
                <w:rFonts w:ascii="Arial" w:hAnsi="Arial"/>
                <w:b w:val="0"/>
                <w:i w:val="0"/>
                <w:sz w:val="16"/>
              </w:rPr>
              <w:t>Favourable: strong strain-induced crystallisation [10,23]; weakens as SBR fraction rises in blends [22]</w:t>
            </w:r>
          </w:p>
        </w:tc>
        <w:tc>
          <w:tcPr>
            <w:tcW w:type="dxa" w:w="3264"/>
            <w:tcBorders>
              <w:top w:val="nil"/>
              <w:bottom w:val="nil"/>
            </w:tcBorders>
          </w:tcPr>
          <w:p>
            <w:pPr>
              <w:spacing w:after="10" w:before="10" w:line="240" w:lineRule="auto"/>
            </w:pPr>
            <w:r>
              <w:rPr>
                <w:rFonts w:ascii="Arial" w:hAnsi="Arial"/>
                <w:b w:val="0"/>
                <w:i w:val="0"/>
                <w:sz w:val="16"/>
              </w:rPr>
              <w:t>Crystallises far less; reaches parity via filler and cure design, not backbone [24–26]</w:t>
            </w:r>
          </w:p>
        </w:tc>
      </w:tr>
      <w:tr>
        <w:tc>
          <w:tcPr>
            <w:tcW w:type="dxa" w:w="2497"/>
            <w:tcBorders>
              <w:top w:val="nil"/>
              <w:bottom w:val="nil"/>
            </w:tcBorders>
          </w:tcPr>
          <w:p>
            <w:pPr>
              <w:spacing w:after="10" w:before="10" w:line="240" w:lineRule="auto"/>
            </w:pPr>
            <w:r>
              <w:rPr>
                <w:rFonts w:ascii="Arial" w:hAnsi="Arial"/>
                <w:b w:val="0"/>
                <w:i w:val="0"/>
                <w:sz w:val="16"/>
              </w:rPr>
              <w:t>Biocompatibility</w:t>
            </w:r>
          </w:p>
        </w:tc>
        <w:tc>
          <w:tcPr>
            <w:tcW w:type="dxa" w:w="3167"/>
            <w:tcBorders>
              <w:top w:val="nil"/>
              <w:bottom w:val="nil"/>
            </w:tcBorders>
          </w:tcPr>
          <w:p>
            <w:pPr>
              <w:spacing w:after="10" w:before="10" w:line="240" w:lineRule="auto"/>
            </w:pPr>
            <w:r>
              <w:rPr>
                <w:rFonts w:ascii="Arial" w:hAnsi="Arial"/>
                <w:b w:val="0"/>
                <w:i w:val="0"/>
                <w:sz w:val="16"/>
              </w:rPr>
              <w:t>Real potential, but latex-protein allergy risk [27,28]</w:t>
            </w:r>
          </w:p>
        </w:tc>
        <w:tc>
          <w:tcPr>
            <w:tcW w:type="dxa" w:w="3264"/>
            <w:tcBorders>
              <w:top w:val="nil"/>
              <w:bottom w:val="nil"/>
            </w:tcBorders>
          </w:tcPr>
          <w:p>
            <w:pPr>
              <w:spacing w:after="10" w:before="10" w:line="240" w:lineRule="auto"/>
            </w:pPr>
            <w:r>
              <w:rPr>
                <w:rFonts w:ascii="Arial" w:hAnsi="Arial"/>
                <w:b w:val="0"/>
                <w:i w:val="0"/>
                <w:sz w:val="16"/>
              </w:rPr>
              <w:t>No unconditional biocompatibility claim [27,28]</w:t>
            </w:r>
          </w:p>
        </w:tc>
      </w:tr>
      <w:tr>
        <w:tc>
          <w:tcPr>
            <w:tcW w:type="dxa" w:w="2497"/>
            <w:tcBorders>
              <w:top w:val="nil"/>
              <w:bottom w:val="nil"/>
            </w:tcBorders>
          </w:tcPr>
          <w:p>
            <w:pPr>
              <w:spacing w:after="10" w:before="10" w:line="240" w:lineRule="auto"/>
            </w:pPr>
            <w:r>
              <w:rPr>
                <w:rFonts w:ascii="Arial" w:hAnsi="Arial"/>
                <w:b w:val="0"/>
                <w:i w:val="0"/>
                <w:sz w:val="16"/>
              </w:rPr>
              <w:t>Environmental footprint</w:t>
            </w:r>
          </w:p>
        </w:tc>
        <w:tc>
          <w:tcPr>
            <w:tcW w:type="dxa" w:w="3167"/>
            <w:tcBorders>
              <w:top w:val="nil"/>
              <w:bottom w:val="nil"/>
            </w:tcBorders>
          </w:tcPr>
          <w:p>
            <w:pPr>
              <w:spacing w:after="10" w:before="10" w:line="240" w:lineRule="auto"/>
            </w:pPr>
            <w:r>
              <w:rPr>
                <w:rFonts w:ascii="Arial" w:hAnsi="Arial"/>
                <w:b w:val="0"/>
                <w:i w:val="0"/>
                <w:sz w:val="16"/>
              </w:rPr>
              <w:t>Renewable, but LCA shows real land/energy cost [29,30]</w:t>
            </w:r>
          </w:p>
        </w:tc>
        <w:tc>
          <w:tcPr>
            <w:tcW w:type="dxa" w:w="3264"/>
            <w:tcBorders>
              <w:top w:val="nil"/>
              <w:bottom w:val="nil"/>
            </w:tcBorders>
          </w:tcPr>
          <w:p>
            <w:pPr>
              <w:spacing w:after="10" w:before="10" w:line="240" w:lineRule="auto"/>
            </w:pPr>
            <w:r>
              <w:rPr>
                <w:rFonts w:ascii="Arial" w:hAnsi="Arial"/>
                <w:b w:val="0"/>
                <w:i w:val="0"/>
                <w:sz w:val="16"/>
              </w:rPr>
              <w:t>Fossil feedstock; biodegradable grades emerging [31]</w:t>
            </w:r>
          </w:p>
        </w:tc>
      </w:tr>
      <w:tr>
        <w:tc>
          <w:tcPr>
            <w:tcW w:type="dxa" w:w="2497"/>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167"/>
            <w:tcBorders>
              <w:top w:val="nil"/>
              <w:bottom w:val="single" w:sz="8" w:space="0" w:color="000000"/>
            </w:tcBorders>
          </w:tcPr>
          <w:p>
            <w:pPr>
              <w:spacing w:after="10" w:before="10" w:line="240" w:lineRule="auto"/>
            </w:pPr>
            <w:r>
              <w:rPr>
                <w:rFonts w:ascii="Arial" w:hAnsi="Arial"/>
                <w:b w:val="0"/>
                <w:i w:val="0"/>
                <w:sz w:val="16"/>
              </w:rPr>
              <w:t>Historically the more volatile of the two [32]</w:t>
            </w:r>
          </w:p>
        </w:tc>
        <w:tc>
          <w:tcPr>
            <w:tcW w:type="dxa" w:w="3264"/>
            <w:tcBorders>
              <w:top w:val="nil"/>
              <w:bottom w:val="single" w:sz="8" w:space="0" w:color="000000"/>
            </w:tcBorders>
          </w:tcPr>
          <w:p>
            <w:pPr>
              <w:spacing w:after="10" w:before="10" w:line="240" w:lineRule="auto"/>
            </w:pPr>
            <w:r>
              <w:rPr>
                <w:rFonts w:ascii="Arial" w:hAnsi="Arial"/>
                <w:b w:val="0"/>
                <w:i w:val="0"/>
                <w:sz w:val="16"/>
              </w:rPr>
              <w:t>Steadier, but tied to the petrochemical supply chain [32]</w:t>
            </w:r>
          </w:p>
        </w:tc>
      </w:tr>
    </w:tbl>
    <w:p>
      <w:pPr>
        <w:spacing w:after="0" w:line="240" w:lineRule="auto"/>
      </w:pPr>
    </w:p>
    <w:p>
      <w:pPr>
        <w:jc w:val="both"/>
      </w:pPr>
      <w:r>
        <w:rPr>
          <w:b w:val="0"/>
          <w:i w:val="0"/>
        </w:rPr>
        <w:t>Under matched compounding, NR's SIC gives better tear and crack-growth resistance to start with [10,23], but SBR reaches comparable wear resistance through reinforcement and cure design [24] — the clearest case here of backbone chemistry trading off against formulation (§6). The "natural is better" story does not survive the literature, though: NR latex carries a real, SBR-absent allergy risk [27,28], its renewability does not automatically mean a lower LCA footprint [29,30], and NR pricing has historically been the more volatile of the two, for climate and disease reasons unrelated to polymer chemistry [32].</w:t>
      </w:r>
    </w:p>
    <w:p>
      <w:pPr>
        <w:pStyle w:val="Heading1"/>
      </w:pPr>
      <w:r>
        <w:t>8. Applications</w:t>
      </w:r>
    </w:p>
    <w:p>
      <w:pPr>
        <w:jc w:val="both"/>
      </w:pPr>
      <w:r>
        <w:rPr>
          <w:b w:val="0"/>
          <w:i w:val="0"/>
        </w:rPr>
        <w:t xml:space="preserve">Each application states the property need first, then the material that meets it (Table 4). </w:t>
      </w:r>
      <w:r>
        <w:rPr>
          <w:b/>
          <w:i w:val="0"/>
        </w:rPr>
        <w:t>Packaging</w:t>
      </w:r>
      <w:r>
        <w:rPr>
          <w:b w:val="0"/>
          <w:i w:val="0"/>
        </w:rPr>
        <w:t xml:space="preserve"> needs O₂/H₂O barrier, toughness and heat resistance above PLA's HDT (§7.2); no single biopolymer gives all three (§5.3), so packaging is almost always multilayer or blended. Compostable foodware and mulch film are driven by §7.1's biodegradability, not barrier, and need a rate matched to the use timescale (§5.4). </w:t>
      </w:r>
      <w:r>
        <w:rPr>
          <w:b/>
          <w:i w:val="0"/>
        </w:rPr>
        <w:t>Biomedical</w:t>
      </w:r>
      <w:r>
        <w:rPr>
          <w:b w:val="0"/>
          <w:i w:val="0"/>
        </w:rPr>
        <w:t xml:space="preserve"> applications need biocompatibility plus a tunable degradation rate (§5.4) — essentially unique here (§7.1, with the NR-latex caveat of §7.3): PGA and PLGA are established suture materials whose main failure mode is a local pH drop from acidic hydrolysis products [52,53]; collagen, alginate and chitosan extend this to scaffolds and bioprinting [55]. </w:t>
      </w:r>
      <w:r>
        <w:rPr>
          <w:b/>
          <w:i w:val="0"/>
        </w:rPr>
        <w:t>Textiles and other:</w:t>
      </w:r>
      <w:r>
        <w:rPr>
          <w:b w:val="0"/>
          <w:i w:val="0"/>
        </w:rPr>
        <w:t xml:space="preserve"> Lyocell and PLA fibre exploit cellulose's solution-processed stiffness [36] and PLA's melt-spinnability;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Mt in 2025 — under 1% of all plastics — and is projected to double by 2030, growth concentrated in bio-based PE/PP and PHA despite PHA remaining the priciest (§7.2) [16]. The bottlenecks are the three properties organising §5 — processing window, humidity dependence, batch variability — none solved by scale alone. Two directions look most promising: enzymatic depolymerisation to monomer (recent enzyme cocktails recovered ~60% of the lactic acid from post-consumer PLA in 72 h [17]); and ⚙️ data-driven property prediction (QSPR / polymer-informatics ML [56]) to shorten the trial-and-error of matching backbone chemistry to a processing window.</w:t>
      </w:r>
    </w:p>
    <w:p>
      <w:pPr>
        <w:pStyle w:val="Heading1"/>
      </w:pPr>
      <w:r>
        <w:t>10. Conclusions</w:t>
      </w:r>
    </w:p>
    <w:p>
      <w:pPr>
        <w:jc w:val="both"/>
      </w:pPr>
      <w:r>
        <w:rPr>
          <w:b w:val="0"/>
          <w:i w:val="0"/>
        </w:rPr>
        <w:t>Three judgements follow. First, the performance ceiling is set by thermal and hygroscopic behaviour (§5.1, §5.3), not mechanical strength (§5.2): most families meet or exceed synthetic-polymer stiffness and fail instead on processing window and moisture. Second, crystallinity governs the whole trade-off (§5.4) — the feature that supplies stiffness, blocks water uptake and blocks degradative attack, so raising one lowers the other two; the NR/SBR case study (§7.3) shows the same trade-off reached through formulation, not backbone chemistry alone. Third, molecular-weight data are comparable only alongside their measurement method (§4), and the features that make MW hard to measure — hydrogen bonding, branching, sequence specificity, agricultural sourcing — are the same ones used throughout to explain performance.</w:t>
      </w:r>
    </w:p>
    <w:p>
      <w:pPr>
        <w:pStyle w:val="Heading1"/>
      </w:pPr>
      <w:r>
        <w:t>References</w:t>
      </w:r>
    </w:p>
    <w:p>
      <w:pPr>
        <w:spacing w:line="240" w:lineRule="auto" w:after="80"/>
        <w:jc w:val="both"/>
      </w:pPr>
      <w:r>
        <w:rPr>
          <w:i/>
        </w:rPr>
        <w:t>56 entries; every DOI checked against Crossref. References, tables of contents and appendices do not count toward the 10-page body limit.</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spacing w:line="240" w:lineRule="auto" w:after="80"/>
        <w:jc w:val="both"/>
      </w:pPr>
      <w:r>
        <w:rPr>
          <w:b w:val="0"/>
          <w:i w:val="0"/>
        </w:rPr>
        <w:t xml:space="preserve">33. Nishiyama, Y.; Langan, P.; Chanzy, H. Crystal structure and hydrogen-bonding system in cellulose Iβ from synchrotron X-ray and neutron fiber diffraction. </w:t>
      </w:r>
      <w:r>
        <w:rPr>
          <w:i/>
        </w:rPr>
        <w:t>J. Am. Chem. Soc.</w:t>
      </w:r>
      <w:r>
        <w:rPr>
          <w:b w:val="0"/>
          <w:i w:val="0"/>
        </w:rPr>
        <w:t xml:space="preserve"> </w:t>
      </w:r>
      <w:r>
        <w:rPr>
          <w:b/>
          <w:i w:val="0"/>
        </w:rPr>
        <w:t>2002</w:t>
      </w:r>
      <w:r>
        <w:rPr>
          <w:b w:val="0"/>
          <w:i w:val="0"/>
        </w:rPr>
        <w:t xml:space="preserve">, </w:t>
      </w:r>
      <w:r>
        <w:rPr>
          <w:i/>
        </w:rPr>
        <w:t>124</w:t>
      </w:r>
      <w:r>
        <w:rPr>
          <w:b w:val="0"/>
          <w:i w:val="0"/>
        </w:rPr>
        <w:t>, 9074–9082. DOI: 10.1021/ja0257319.</w:t>
      </w:r>
    </w:p>
    <w:p>
      <w:pPr>
        <w:spacing w:line="240" w:lineRule="auto" w:after="80"/>
        <w:jc w:val="both"/>
      </w:pPr>
      <w:r>
        <w:rPr>
          <w:b w:val="0"/>
          <w:i w:val="0"/>
        </w:rPr>
        <w:t xml:space="preserve">34. Nishiyama, Y.; Sugiyama, J.; Chanzy, H.; Langan, P. Crystal structure and hydrogen bonding system in cellulose Iα from synchrotron X-ray and neutron fiber diffraction. </w:t>
      </w:r>
      <w:r>
        <w:rPr>
          <w:i/>
        </w:rPr>
        <w:t>J. Am. Chem. Soc.</w:t>
      </w:r>
      <w:r>
        <w:rPr>
          <w:b w:val="0"/>
          <w:i w:val="0"/>
        </w:rPr>
        <w:t xml:space="preserve"> </w:t>
      </w:r>
      <w:r>
        <w:rPr>
          <w:b/>
          <w:i w:val="0"/>
        </w:rPr>
        <w:t>2003</w:t>
      </w:r>
      <w:r>
        <w:rPr>
          <w:b w:val="0"/>
          <w:i w:val="0"/>
        </w:rPr>
        <w:t xml:space="preserve">, </w:t>
      </w:r>
      <w:r>
        <w:rPr>
          <w:i/>
        </w:rPr>
        <w:t>125</w:t>
      </w:r>
      <w:r>
        <w:rPr>
          <w:b w:val="0"/>
          <w:i w:val="0"/>
        </w:rPr>
        <w:t>, 14300–14306. DOI: 10.1021/ja037055w.</w:t>
      </w:r>
    </w:p>
    <w:p>
      <w:pPr>
        <w:spacing w:line="240" w:lineRule="auto" w:after="80"/>
        <w:jc w:val="both"/>
      </w:pPr>
      <w:r>
        <w:rPr>
          <w:b w:val="0"/>
          <w:i w:val="0"/>
        </w:rPr>
        <w:t xml:space="preserve">35. Nishino, T.; Takano, K.; Nakamae, K. Elastic modulus of the crystalline regions of cellulose polymorphs. </w:t>
      </w:r>
      <w:r>
        <w:rPr>
          <w:i/>
        </w:rPr>
        <w:t>J. Polym. Sci. B Polym. Phys.</w:t>
      </w:r>
      <w:r>
        <w:rPr>
          <w:b w:val="0"/>
          <w:i w:val="0"/>
        </w:rPr>
        <w:t xml:space="preserve"> </w:t>
      </w:r>
      <w:r>
        <w:rPr>
          <w:b/>
          <w:i w:val="0"/>
        </w:rPr>
        <w:t>1995</w:t>
      </w:r>
      <w:r>
        <w:rPr>
          <w:b w:val="0"/>
          <w:i w:val="0"/>
        </w:rPr>
        <w:t xml:space="preserve">, </w:t>
      </w:r>
      <w:r>
        <w:rPr>
          <w:i/>
        </w:rPr>
        <w:t>33</w:t>
      </w:r>
      <w:r>
        <w:rPr>
          <w:b w:val="0"/>
          <w:i w:val="0"/>
        </w:rPr>
        <w:t>, 1647–1651. DOI: 10.1002/polb.1995.090331110.</w:t>
      </w:r>
    </w:p>
    <w:p>
      <w:pPr>
        <w:spacing w:line="240" w:lineRule="auto" w:after="80"/>
        <w:jc w:val="both"/>
      </w:pPr>
      <w:r>
        <w:rPr>
          <w:b w:val="0"/>
          <w:i w:val="0"/>
        </w:rPr>
        <w:t xml:space="preserve">36. Eichhorn, S. J.; Baillie, C. A.; Zafeiropoulos, N.; et al. Review: current international research into cellulosic fibres and composites. </w:t>
      </w:r>
      <w:r>
        <w:rPr>
          <w:i/>
        </w:rPr>
        <w:t>J. Mater. Sci.</w:t>
      </w:r>
      <w:r>
        <w:rPr>
          <w:b w:val="0"/>
          <w:i w:val="0"/>
        </w:rPr>
        <w:t xml:space="preserve"> </w:t>
      </w:r>
      <w:r>
        <w:rPr>
          <w:b/>
          <w:i w:val="0"/>
        </w:rPr>
        <w:t>2001</w:t>
      </w:r>
      <w:r>
        <w:rPr>
          <w:b w:val="0"/>
          <w:i w:val="0"/>
        </w:rPr>
        <w:t xml:space="preserve">, </w:t>
      </w:r>
      <w:r>
        <w:rPr>
          <w:i/>
        </w:rPr>
        <w:t>36</w:t>
      </w:r>
      <w:r>
        <w:rPr>
          <w:b w:val="0"/>
          <w:i w:val="0"/>
        </w:rPr>
        <w:t>, 2107–2131. DOI: 10.1023/A:1017512029696.</w:t>
      </w:r>
    </w:p>
    <w:p>
      <w:pPr>
        <w:spacing w:line="240" w:lineRule="auto" w:after="80"/>
        <w:jc w:val="both"/>
      </w:pPr>
      <w:r>
        <w:rPr>
          <w:b w:val="0"/>
          <w:i w:val="0"/>
        </w:rPr>
        <w:t xml:space="preserve">37. Rosenau, T.; Potthast, A.; Sixta, H.; Kosma, P. The chemistry of side reactions and byproduct formation in the system NMMO/cellulose (Lyocell process). </w:t>
      </w:r>
      <w:r>
        <w:rPr>
          <w:i/>
        </w:rPr>
        <w:t>Prog. Polym. Sci.</w:t>
      </w:r>
      <w:r>
        <w:rPr>
          <w:b w:val="0"/>
          <w:i w:val="0"/>
        </w:rPr>
        <w:t xml:space="preserve"> </w:t>
      </w:r>
      <w:r>
        <w:rPr>
          <w:b/>
          <w:i w:val="0"/>
        </w:rPr>
        <w:t>2001</w:t>
      </w:r>
      <w:r>
        <w:rPr>
          <w:b w:val="0"/>
          <w:i w:val="0"/>
        </w:rPr>
        <w:t xml:space="preserve">, </w:t>
      </w:r>
      <w:r>
        <w:rPr>
          <w:i/>
        </w:rPr>
        <w:t>26</w:t>
      </w:r>
      <w:r>
        <w:rPr>
          <w:b w:val="0"/>
          <w:i w:val="0"/>
        </w:rPr>
        <w:t>, 1763–1837. DOI: 10.1016/S0079-6700(01)00023-5.</w:t>
      </w:r>
    </w:p>
    <w:p>
      <w:pPr>
        <w:spacing w:line="240" w:lineRule="auto" w:after="80"/>
        <w:jc w:val="both"/>
      </w:pPr>
      <w:r>
        <w:rPr>
          <w:b w:val="0"/>
          <w:i w:val="0"/>
        </w:rPr>
        <w:t xml:space="preserve">38. Wang, S.; Li, C.; Copeland, L.; Niu, Q.; Wang, S. Starch retrogradation: a comprehensive review. </w:t>
      </w:r>
      <w:r>
        <w:rPr>
          <w:i/>
        </w:rPr>
        <w:t>Compr. Rev. Food Sci. Food Saf.</w:t>
      </w:r>
      <w:r>
        <w:rPr>
          <w:b w:val="0"/>
          <w:i w:val="0"/>
        </w:rPr>
        <w:t xml:space="preserve"> </w:t>
      </w:r>
      <w:r>
        <w:rPr>
          <w:b/>
          <w:i w:val="0"/>
        </w:rPr>
        <w:t>2015</w:t>
      </w:r>
      <w:r>
        <w:rPr>
          <w:b w:val="0"/>
          <w:i w:val="0"/>
        </w:rPr>
        <w:t xml:space="preserve">, </w:t>
      </w:r>
      <w:r>
        <w:rPr>
          <w:i/>
        </w:rPr>
        <w:t>14</w:t>
      </w:r>
      <w:r>
        <w:rPr>
          <w:b w:val="0"/>
          <w:i w:val="0"/>
        </w:rPr>
        <w:t>, 568–585. DOI: 10.1111/1541-4337.12143.</w:t>
      </w:r>
    </w:p>
    <w:p>
      <w:pPr>
        <w:spacing w:line="240" w:lineRule="auto" w:after="80"/>
        <w:jc w:val="both"/>
      </w:pPr>
      <w:r>
        <w:rPr>
          <w:b w:val="0"/>
          <w:i w:val="0"/>
        </w:rPr>
        <w:t xml:space="preserve">39. Rinaudo, M. Chitin and chitosan: properties and applications. </w:t>
      </w:r>
      <w:r>
        <w:rPr>
          <w:i/>
        </w:rPr>
        <w:t>Prog. Polym. Sci.</w:t>
      </w:r>
      <w:r>
        <w:rPr>
          <w:b w:val="0"/>
          <w:i w:val="0"/>
        </w:rPr>
        <w:t xml:space="preserve"> </w:t>
      </w:r>
      <w:r>
        <w:rPr>
          <w:b/>
          <w:i w:val="0"/>
        </w:rPr>
        <w:t>2006</w:t>
      </w:r>
      <w:r>
        <w:rPr>
          <w:b w:val="0"/>
          <w:i w:val="0"/>
        </w:rPr>
        <w:t xml:space="preserve">, </w:t>
      </w:r>
      <w:r>
        <w:rPr>
          <w:i/>
        </w:rPr>
        <w:t>31</w:t>
      </w:r>
      <w:r>
        <w:rPr>
          <w:b w:val="0"/>
          <w:i w:val="0"/>
        </w:rPr>
        <w:t>, 603–632. DOI: 10.1016/j.progpolymsci.2006.06.001.</w:t>
      </w:r>
    </w:p>
    <w:p>
      <w:pPr>
        <w:spacing w:line="240" w:lineRule="auto" w:after="80"/>
        <w:jc w:val="both"/>
      </w:pPr>
      <w:r>
        <w:rPr>
          <w:b w:val="0"/>
          <w:i w:val="0"/>
        </w:rPr>
        <w:t xml:space="preserve">40. Drumright, R. E.; Gruber, P. R.; Henton, D. E. Polylactic acid technology. </w:t>
      </w:r>
      <w:r>
        <w:rPr>
          <w:i/>
        </w:rPr>
        <w:t>Adv. Mater.</w:t>
      </w:r>
      <w:r>
        <w:rPr>
          <w:b w:val="0"/>
          <w:i w:val="0"/>
        </w:rPr>
        <w:t xml:space="preserve"> </w:t>
      </w:r>
      <w:r>
        <w:rPr>
          <w:b/>
          <w:i w:val="0"/>
        </w:rPr>
        <w:t>2000</w:t>
      </w:r>
      <w:r>
        <w:rPr>
          <w:b w:val="0"/>
          <w:i w:val="0"/>
        </w:rPr>
        <w:t xml:space="preserve">, </w:t>
      </w:r>
      <w:r>
        <w:rPr>
          <w:i/>
        </w:rPr>
        <w:t>12</w:t>
      </w:r>
      <w:r>
        <w:rPr>
          <w:b w:val="0"/>
          <w:i w:val="0"/>
        </w:rPr>
        <w:t>, 1841–1846. DOI: 10.1002/1521-4095(200012)12:23&lt;1841::AID-ADMA1841&gt;3.0.CO;2-E.</w:t>
      </w:r>
    </w:p>
    <w:p>
      <w:pPr>
        <w:spacing w:line="240" w:lineRule="auto" w:after="80"/>
        <w:jc w:val="both"/>
      </w:pPr>
      <w:r>
        <w:rPr>
          <w:b w:val="0"/>
          <w:i w:val="0"/>
        </w:rPr>
        <w:t xml:space="preserve">41. Kowalski, A.; Duda, A.; Penczek, S. Kinetics and mechanism of cyclic esters polymerization initiated with tin(II) octoate. 3. Polymerization of L,L-dilactide. </w:t>
      </w:r>
      <w:r>
        <w:rPr>
          <w:i/>
        </w:rPr>
        <w:t>Macromolecules</w:t>
      </w:r>
      <w:r>
        <w:rPr>
          <w:b w:val="0"/>
          <w:i w:val="0"/>
        </w:rPr>
        <w:t xml:space="preserve"> </w:t>
      </w:r>
      <w:r>
        <w:rPr>
          <w:b/>
          <w:i w:val="0"/>
        </w:rPr>
        <w:t>2000</w:t>
      </w:r>
      <w:r>
        <w:rPr>
          <w:b w:val="0"/>
          <w:i w:val="0"/>
        </w:rPr>
        <w:t xml:space="preserve">, </w:t>
      </w:r>
      <w:r>
        <w:rPr>
          <w:i/>
        </w:rPr>
        <w:t>33</w:t>
      </w:r>
      <w:r>
        <w:rPr>
          <w:b w:val="0"/>
          <w:i w:val="0"/>
        </w:rPr>
        <w:t>, 7359–7370. DOI: 10.1021/ma000125o.</w:t>
      </w:r>
    </w:p>
    <w:p>
      <w:pPr>
        <w:spacing w:line="240" w:lineRule="auto" w:after="80"/>
        <w:jc w:val="both"/>
      </w:pPr>
      <w:r>
        <w:rPr>
          <w:b w:val="0"/>
          <w:i w:val="0"/>
        </w:rPr>
        <w:t xml:space="preserve">42. Auras, R.; Harte, B.; Selke, S. An overview of polylactides as packaging materials. </w:t>
      </w:r>
      <w:r>
        <w:rPr>
          <w:i/>
        </w:rPr>
        <w:t>Macromol. Biosci.</w:t>
      </w:r>
      <w:r>
        <w:rPr>
          <w:b w:val="0"/>
          <w:i w:val="0"/>
        </w:rPr>
        <w:t xml:space="preserve"> </w:t>
      </w:r>
      <w:r>
        <w:rPr>
          <w:b/>
          <w:i w:val="0"/>
        </w:rPr>
        <w:t>2004</w:t>
      </w:r>
      <w:r>
        <w:rPr>
          <w:b w:val="0"/>
          <w:i w:val="0"/>
        </w:rPr>
        <w:t xml:space="preserve">, </w:t>
      </w:r>
      <w:r>
        <w:rPr>
          <w:i/>
        </w:rPr>
        <w:t>4</w:t>
      </w:r>
      <w:r>
        <w:rPr>
          <w:b w:val="0"/>
          <w:i w:val="0"/>
        </w:rPr>
        <w:t>, 835–864. DOI: 10.1002/mabi.200400043.</w:t>
      </w:r>
    </w:p>
    <w:p>
      <w:pPr>
        <w:spacing w:line="240" w:lineRule="auto" w:after="80"/>
        <w:jc w:val="both"/>
      </w:pPr>
      <w:r>
        <w:rPr>
          <w:b w:val="0"/>
          <w:i w:val="0"/>
        </w:rPr>
        <w:t xml:space="preserve">43. Farah, S.; Anderson, D. G.; Langer, R. Physical and mechanical properties of PLA, and their functions in widespread applications — a comprehensive review. </w:t>
      </w:r>
      <w:r>
        <w:rPr>
          <w:i/>
        </w:rPr>
        <w:t>Adv. Drug Deliv. Rev.</w:t>
      </w:r>
      <w:r>
        <w:rPr>
          <w:b w:val="0"/>
          <w:i w:val="0"/>
        </w:rPr>
        <w:t xml:space="preserve"> </w:t>
      </w:r>
      <w:r>
        <w:rPr>
          <w:b/>
          <w:i w:val="0"/>
        </w:rPr>
        <w:t>2016</w:t>
      </w:r>
      <w:r>
        <w:rPr>
          <w:b w:val="0"/>
          <w:i w:val="0"/>
        </w:rPr>
        <w:t xml:space="preserve">, </w:t>
      </w:r>
      <w:r>
        <w:rPr>
          <w:i/>
        </w:rPr>
        <w:t>107</w:t>
      </w:r>
      <w:r>
        <w:rPr>
          <w:b w:val="0"/>
          <w:i w:val="0"/>
        </w:rPr>
        <w:t>, 367–392. DOI: 10.1016/j.addr.2016.06.012.</w:t>
      </w:r>
    </w:p>
    <w:p>
      <w:pPr>
        <w:spacing w:line="240" w:lineRule="auto" w:after="80"/>
        <w:jc w:val="both"/>
      </w:pPr>
      <w:r>
        <w:rPr>
          <w:b w:val="0"/>
          <w:i w:val="0"/>
        </w:rPr>
        <w:t xml:space="preserve">44. Sin, L. T.; Rahmat, A. R.; Rahman, W. A. W. A. Thermal properties of poly(lactic acid). In </w:t>
      </w:r>
      <w:r>
        <w:rPr>
          <w:i/>
        </w:rPr>
        <w:t>Polylactic Acid: PLA Biopolymer Technology and Applications</w:t>
      </w:r>
      <w:r>
        <w:rPr>
          <w:b w:val="0"/>
          <w:i w:val="0"/>
        </w:rPr>
        <w:t>; William Andrew: Oxford, 2013; pp 109–141. DOI: 10.1016/B978-1-4377-4459-0.00003-2.</w:t>
      </w:r>
    </w:p>
    <w:p>
      <w:pPr>
        <w:spacing w:line="240" w:lineRule="auto" w:after="80"/>
        <w:jc w:val="both"/>
      </w:pPr>
      <w:r>
        <w:rPr>
          <w:b w:val="0"/>
          <w:i w:val="0"/>
        </w:rPr>
        <w:t xml:space="preserve">45. Shoulders, M. D.; Raines, R. T. Collagen structure and stability. </w:t>
      </w:r>
      <w:r>
        <w:rPr>
          <w:i/>
        </w:rPr>
        <w:t>Annu. Rev. Biochem.</w:t>
      </w:r>
      <w:r>
        <w:rPr>
          <w:b w:val="0"/>
          <w:i w:val="0"/>
        </w:rPr>
        <w:t xml:space="preserve"> </w:t>
      </w:r>
      <w:r>
        <w:rPr>
          <w:b/>
          <w:i w:val="0"/>
        </w:rPr>
        <w:t>2009</w:t>
      </w:r>
      <w:r>
        <w:rPr>
          <w:b w:val="0"/>
          <w:i w:val="0"/>
        </w:rPr>
        <w:t xml:space="preserve">, </w:t>
      </w:r>
      <w:r>
        <w:rPr>
          <w:i/>
        </w:rPr>
        <w:t>78</w:t>
      </w:r>
      <w:r>
        <w:rPr>
          <w:b w:val="0"/>
          <w:i w:val="0"/>
        </w:rPr>
        <w:t>, 929–958. DOI: 10.1146/annurev.biochem.77.032207.120833.</w:t>
      </w:r>
    </w:p>
    <w:p>
      <w:pPr>
        <w:spacing w:line="240" w:lineRule="auto" w:after="80"/>
        <w:jc w:val="both"/>
      </w:pPr>
      <w:r>
        <w:rPr>
          <w:b w:val="0"/>
          <w:i w:val="0"/>
        </w:rPr>
        <w:t xml:space="preserve">46. Stepto, R. F. T. Dispersity in polymer science (IUPAC Recommendations 2009). </w:t>
      </w:r>
      <w:r>
        <w:rPr>
          <w:i/>
        </w:rPr>
        <w:t>Pure Appl. Chem.</w:t>
      </w:r>
      <w:r>
        <w:rPr>
          <w:b w:val="0"/>
          <w:i w:val="0"/>
        </w:rPr>
        <w:t xml:space="preserve"> </w:t>
      </w:r>
      <w:r>
        <w:rPr>
          <w:b/>
          <w:i w:val="0"/>
        </w:rPr>
        <w:t>2009</w:t>
      </w:r>
      <w:r>
        <w:rPr>
          <w:b w:val="0"/>
          <w:i w:val="0"/>
        </w:rPr>
        <w:t xml:space="preserve">, </w:t>
      </w:r>
      <w:r>
        <w:rPr>
          <w:i/>
        </w:rPr>
        <w:t>81</w:t>
      </w:r>
      <w:r>
        <w:rPr>
          <w:b w:val="0"/>
          <w:i w:val="0"/>
        </w:rPr>
        <w:t>, 351–353. DOI: 10.1351/pac-rec-08-05-02.</w:t>
      </w:r>
    </w:p>
    <w:p>
      <w:pPr>
        <w:spacing w:line="240" w:lineRule="auto" w:after="80"/>
        <w:jc w:val="both"/>
      </w:pPr>
      <w:r>
        <w:rPr>
          <w:b w:val="0"/>
          <w:i w:val="0"/>
        </w:rPr>
        <w:t xml:space="preserve">47. Nunes, R. W.; Martin, J. R.; Johnson, J. F. Influence of molecular weight and molecular weight distribution on mechanical properties of polymers. </w:t>
      </w:r>
      <w:r>
        <w:rPr>
          <w:i/>
        </w:rPr>
        <w:t>Polym. Eng. Sci.</w:t>
      </w:r>
      <w:r>
        <w:rPr>
          <w:b w:val="0"/>
          <w:i w:val="0"/>
        </w:rPr>
        <w:t xml:space="preserve"> </w:t>
      </w:r>
      <w:r>
        <w:rPr>
          <w:b/>
          <w:i w:val="0"/>
        </w:rPr>
        <w:t>1982</w:t>
      </w:r>
      <w:r>
        <w:rPr>
          <w:b w:val="0"/>
          <w:i w:val="0"/>
        </w:rPr>
        <w:t xml:space="preserve">, </w:t>
      </w:r>
      <w:r>
        <w:rPr>
          <w:i/>
        </w:rPr>
        <w:t>22</w:t>
      </w:r>
      <w:r>
        <w:rPr>
          <w:b w:val="0"/>
          <w:i w:val="0"/>
        </w:rPr>
        <w:t>, 205–228. DOI: 10.1002/pen.760220402.</w:t>
      </w:r>
    </w:p>
    <w:p>
      <w:pPr>
        <w:spacing w:line="240" w:lineRule="auto" w:after="80"/>
        <w:jc w:val="both"/>
      </w:pPr>
      <w:r>
        <w:rPr>
          <w:b w:val="0"/>
          <w:i w:val="0"/>
        </w:rPr>
        <w:t xml:space="preserve">48. Fetters, L. J.; Lohse, D. J.; Richter, D.; Witten, T. A.; Zirkel, A. Connection between polymer molecular weight, density, chain dimensions, and melt viscoelastic properties. </w:t>
      </w:r>
      <w:r>
        <w:rPr>
          <w:i/>
        </w:rPr>
        <w:t>Macromolecules</w:t>
      </w:r>
      <w:r>
        <w:rPr>
          <w:b w:val="0"/>
          <w:i w:val="0"/>
        </w:rPr>
        <w:t xml:space="preserve"> </w:t>
      </w:r>
      <w:r>
        <w:rPr>
          <w:b/>
          <w:i w:val="0"/>
        </w:rPr>
        <w:t>1994</w:t>
      </w:r>
      <w:r>
        <w:rPr>
          <w:b w:val="0"/>
          <w:i w:val="0"/>
        </w:rPr>
        <w:t xml:space="preserve">, </w:t>
      </w:r>
      <w:r>
        <w:rPr>
          <w:i/>
        </w:rPr>
        <w:t>27</w:t>
      </w:r>
      <w:r>
        <w:rPr>
          <w:b w:val="0"/>
          <w:i w:val="0"/>
        </w:rPr>
        <w:t>, 4639–4647. DOI: 10.1021/ma00095a001.</w:t>
      </w:r>
    </w:p>
    <w:p>
      <w:pPr>
        <w:spacing w:line="240" w:lineRule="auto" w:after="80"/>
        <w:jc w:val="both"/>
      </w:pPr>
      <w:r>
        <w:rPr>
          <w:b w:val="0"/>
          <w:i w:val="0"/>
        </w:rPr>
        <w:t xml:space="preserve">49. von Burkersroda, F.; Schedl, L.; Göpferich, A. Why degradable polymers undergo surface erosion or bulk erosion. </w:t>
      </w:r>
      <w:r>
        <w:rPr>
          <w:i/>
        </w:rPr>
        <w:t>Biomaterials</w:t>
      </w:r>
      <w:r>
        <w:rPr>
          <w:b w:val="0"/>
          <w:i w:val="0"/>
        </w:rPr>
        <w:t xml:space="preserve"> </w:t>
      </w:r>
      <w:r>
        <w:rPr>
          <w:b/>
          <w:i w:val="0"/>
        </w:rPr>
        <w:t>2002</w:t>
      </w:r>
      <w:r>
        <w:rPr>
          <w:b w:val="0"/>
          <w:i w:val="0"/>
        </w:rPr>
        <w:t xml:space="preserve">, </w:t>
      </w:r>
      <w:r>
        <w:rPr>
          <w:i/>
        </w:rPr>
        <w:t>23</w:t>
      </w:r>
      <w:r>
        <w:rPr>
          <w:b w:val="0"/>
          <w:i w:val="0"/>
        </w:rPr>
        <w:t>, 4221–4231. DOI: 10.1016/S0142-9612(02)00170-9.</w:t>
      </w:r>
    </w:p>
    <w:p>
      <w:pPr>
        <w:spacing w:line="240" w:lineRule="auto" w:after="80"/>
        <w:jc w:val="both"/>
      </w:pPr>
      <w:r>
        <w:rPr>
          <w:b w:val="0"/>
          <w:i w:val="0"/>
        </w:rPr>
        <w:t xml:space="preserve">50. Lucas, N.; Bienaime, C.; Belloy, C.; Queneudec, M.; Silvestre, F.; Nava-Saucedo, J.-E. Polymer biodegradation: mechanisms and estimation techniques — a review. </w:t>
      </w:r>
      <w:r>
        <w:rPr>
          <w:i/>
        </w:rPr>
        <w:t>Chemosphere</w:t>
      </w:r>
      <w:r>
        <w:rPr>
          <w:b w:val="0"/>
          <w:i w:val="0"/>
        </w:rPr>
        <w:t xml:space="preserve"> </w:t>
      </w:r>
      <w:r>
        <w:rPr>
          <w:b/>
          <w:i w:val="0"/>
        </w:rPr>
        <w:t>2008</w:t>
      </w:r>
      <w:r>
        <w:rPr>
          <w:b w:val="0"/>
          <w:i w:val="0"/>
        </w:rPr>
        <w:t xml:space="preserve">, </w:t>
      </w:r>
      <w:r>
        <w:rPr>
          <w:i/>
        </w:rPr>
        <w:t>73</w:t>
      </w:r>
      <w:r>
        <w:rPr>
          <w:b w:val="0"/>
          <w:i w:val="0"/>
        </w:rPr>
        <w:t>, 429–442. DOI: 10.1016/j.chemosphere.2008.06.064.</w:t>
      </w:r>
    </w:p>
    <w:p>
      <w:pPr>
        <w:spacing w:line="240" w:lineRule="auto" w:after="80"/>
        <w:jc w:val="both"/>
      </w:pPr>
      <w:r>
        <w:rPr>
          <w:b w:val="0"/>
          <w:i w:val="0"/>
        </w:rPr>
        <w:t xml:space="preserve">51. Tokiwa, Y.; Calil, M. R.; Suzuki, T.; Aiba, S. Biodegradability of plastics. </w:t>
      </w:r>
      <w:r>
        <w:rPr>
          <w:i/>
        </w:rPr>
        <w:t>Int. J. Mol. Sci.</w:t>
      </w:r>
      <w:r>
        <w:rPr>
          <w:b w:val="0"/>
          <w:i w:val="0"/>
        </w:rPr>
        <w:t xml:space="preserve"> </w:t>
      </w:r>
      <w:r>
        <w:rPr>
          <w:b/>
          <w:i w:val="0"/>
        </w:rPr>
        <w:t>2009</w:t>
      </w:r>
      <w:r>
        <w:rPr>
          <w:b w:val="0"/>
          <w:i w:val="0"/>
        </w:rPr>
        <w:t xml:space="preserve">, </w:t>
      </w:r>
      <w:r>
        <w:rPr>
          <w:i/>
        </w:rPr>
        <w:t>10</w:t>
      </w:r>
      <w:r>
        <w:rPr>
          <w:b w:val="0"/>
          <w:i w:val="0"/>
        </w:rPr>
        <w:t>, 3722–3742. DOI: 10.3390/ijms10093722.</w:t>
      </w:r>
    </w:p>
    <w:p>
      <w:pPr>
        <w:spacing w:line="240" w:lineRule="auto" w:after="80"/>
        <w:jc w:val="both"/>
      </w:pPr>
      <w:r>
        <w:rPr>
          <w:b w:val="0"/>
          <w:i w:val="0"/>
        </w:rPr>
        <w:t xml:space="preserve">52. Middleton, J. C.; Tipton, A. J. Synthetic biodegradable polymers as orthopedic devices. </w:t>
      </w:r>
      <w:r>
        <w:rPr>
          <w:i/>
        </w:rPr>
        <w:t>Biomaterials</w:t>
      </w:r>
      <w:r>
        <w:rPr>
          <w:b w:val="0"/>
          <w:i w:val="0"/>
        </w:rPr>
        <w:t xml:space="preserve"> </w:t>
      </w:r>
      <w:r>
        <w:rPr>
          <w:b/>
          <w:i w:val="0"/>
        </w:rPr>
        <w:t>2000</w:t>
      </w:r>
      <w:r>
        <w:rPr>
          <w:b w:val="0"/>
          <w:i w:val="0"/>
        </w:rPr>
        <w:t xml:space="preserve">, </w:t>
      </w:r>
      <w:r>
        <w:rPr>
          <w:i/>
        </w:rPr>
        <w:t>21</w:t>
      </w:r>
      <w:r>
        <w:rPr>
          <w:b w:val="0"/>
          <w:i w:val="0"/>
        </w:rPr>
        <w:t>, 2335–2346. DOI: 10.1016/S0142-9612(00)00101-0.</w:t>
      </w:r>
    </w:p>
    <w:p>
      <w:pPr>
        <w:spacing w:line="240" w:lineRule="auto" w:after="80"/>
        <w:jc w:val="both"/>
      </w:pPr>
      <w:r>
        <w:rPr>
          <w:b w:val="0"/>
          <w:i w:val="0"/>
        </w:rPr>
        <w:t xml:space="preserve">53. Jem, K. J.; Tan, B. The development and challenges of poly(lactic acid) and poly(glycolic acid). </w:t>
      </w:r>
      <w:r>
        <w:rPr>
          <w:i/>
        </w:rPr>
        <w:t>Adv. Ind. Eng. Polym. Res.</w:t>
      </w:r>
      <w:r>
        <w:rPr>
          <w:b w:val="0"/>
          <w:i w:val="0"/>
        </w:rPr>
        <w:t xml:space="preserve"> </w:t>
      </w:r>
      <w:r>
        <w:rPr>
          <w:b/>
          <w:i w:val="0"/>
        </w:rPr>
        <w:t>2020</w:t>
      </w:r>
      <w:r>
        <w:rPr>
          <w:b w:val="0"/>
          <w:i w:val="0"/>
        </w:rPr>
        <w:t xml:space="preserve">, </w:t>
      </w:r>
      <w:r>
        <w:rPr>
          <w:i/>
        </w:rPr>
        <w:t>3</w:t>
      </w:r>
      <w:r>
        <w:rPr>
          <w:b w:val="0"/>
          <w:i w:val="0"/>
        </w:rPr>
        <w:t>, 60–70. DOI: 10.1016/j.aiepr.2020.01.002.</w:t>
      </w:r>
    </w:p>
    <w:p>
      <w:pPr>
        <w:spacing w:line="240" w:lineRule="auto" w:after="80"/>
        <w:jc w:val="both"/>
      </w:pPr>
      <w:r>
        <w:rPr>
          <w:b w:val="0"/>
          <w:i w:val="0"/>
        </w:rPr>
        <w:t xml:space="preserve">54. Ragauskas, A. J.; Beckham, G. T.; Biddy, M. J.; et al. Lignin valorization: improving lignin processing in the biorefinery. </w:t>
      </w:r>
      <w:r>
        <w:rPr>
          <w:i/>
        </w:rPr>
        <w:t>Science</w:t>
      </w:r>
      <w:r>
        <w:rPr>
          <w:b w:val="0"/>
          <w:i w:val="0"/>
        </w:rPr>
        <w:t xml:space="preserve"> </w:t>
      </w:r>
      <w:r>
        <w:rPr>
          <w:b/>
          <w:i w:val="0"/>
        </w:rPr>
        <w:t>2014</w:t>
      </w:r>
      <w:r>
        <w:rPr>
          <w:b w:val="0"/>
          <w:i w:val="0"/>
        </w:rPr>
        <w:t xml:space="preserve">, </w:t>
      </w:r>
      <w:r>
        <w:rPr>
          <w:i/>
        </w:rPr>
        <w:t>344</w:t>
      </w:r>
      <w:r>
        <w:rPr>
          <w:b w:val="0"/>
          <w:i w:val="0"/>
        </w:rPr>
        <w:t>, 1246843. DOI: 10.1126/science.1246843.</w:t>
      </w:r>
    </w:p>
    <w:p>
      <w:pPr>
        <w:spacing w:line="240" w:lineRule="auto" w:after="80"/>
        <w:jc w:val="both"/>
      </w:pPr>
      <w:r>
        <w:rPr>
          <w:b w:val="0"/>
          <w:i w:val="0"/>
        </w:rPr>
        <w:t xml:space="preserve">55. Rinaudo, M. Main properties and current applications of some polysaccharides as biomaterials. </w:t>
      </w:r>
      <w:r>
        <w:rPr>
          <w:i/>
        </w:rPr>
        <w:t>Polym. Int.</w:t>
      </w:r>
      <w:r>
        <w:rPr>
          <w:b w:val="0"/>
          <w:i w:val="0"/>
        </w:rPr>
        <w:t xml:space="preserve"> </w:t>
      </w:r>
      <w:r>
        <w:rPr>
          <w:b/>
          <w:i w:val="0"/>
        </w:rPr>
        <w:t>2008</w:t>
      </w:r>
      <w:r>
        <w:rPr>
          <w:b w:val="0"/>
          <w:i w:val="0"/>
        </w:rPr>
        <w:t xml:space="preserve">, </w:t>
      </w:r>
      <w:r>
        <w:rPr>
          <w:i/>
        </w:rPr>
        <w:t>57</w:t>
      </w:r>
      <w:r>
        <w:rPr>
          <w:b w:val="0"/>
          <w:i w:val="0"/>
        </w:rPr>
        <w:t>, 397–430. DOI: 10.1002/pi.2378.</w:t>
      </w:r>
    </w:p>
    <w:p>
      <w:pPr>
        <w:spacing w:line="240" w:lineRule="auto" w:after="80"/>
        <w:jc w:val="both"/>
      </w:pPr>
      <w:r>
        <w:rPr>
          <w:b w:val="0"/>
          <w:i w:val="0"/>
        </w:rPr>
        <w:t xml:space="preserve">56. Kuenneth, C.; Ramprasad, R. polyBERT: a chemical language model to enable fully machine-driven ultrafast polymer informatics. </w:t>
      </w:r>
      <w:r>
        <w:rPr>
          <w:i/>
        </w:rPr>
        <w:t>Nat. Commun.</w:t>
      </w:r>
      <w:r>
        <w:rPr>
          <w:b w:val="0"/>
          <w:i w:val="0"/>
        </w:rPr>
        <w:t xml:space="preserve"> </w:t>
      </w:r>
      <w:r>
        <w:rPr>
          <w:b/>
          <w:i w:val="0"/>
        </w:rPr>
        <w:t>2023</w:t>
      </w:r>
      <w:r>
        <w:rPr>
          <w:b w:val="0"/>
          <w:i w:val="0"/>
        </w:rPr>
        <w:t xml:space="preserve">, </w:t>
      </w:r>
      <w:r>
        <w:rPr>
          <w:i/>
        </w:rPr>
        <w:t>14</w:t>
      </w:r>
      <w:r>
        <w:rPr>
          <w:b w:val="0"/>
          <w:i w:val="0"/>
        </w:rPr>
        <w:t>, 4099. DOI: 10.1038/s41467-023-39868-6.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