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 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 中文稿对应的是压缩之前更冗长的英文草稿，这次英文经历了大幅精简、NR/SBR 案例研究整合、 分类方案重做（图 1 从"来源为主分支"改成"主链化学为主分支"）、新增分散度和加工路线两张图 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 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每节新增自己的单体/链结构图——全部 19 张图按正文出现顺序重新连续编号，见 FIGURES.md 的 编号对照表。图仍然是英文标注（未重新生成中文版配图，图内文字是英文）；参考文献条目保留 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 原样保留，不代表已经解决。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生物聚合物是由生物体合成的大分子：多糖、蛋白质、核酸、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-1,4-聚异戊二烯和木质素合计 构成了地球上大部分的有机聚合物 [1]。本文把这个术语的范围延伸到由生物质来源单体经化学 聚合而成的聚合物——主要是聚乳酸（PLA）——因为把它们和真正的生物聚合物放在一起理解，性质 上更说得通。这类链与常规合成聚合物的区别在于三个结构特征：模板导向的生物合成同时固定了 链长和单体序列，所以蛋白质和核酸是严格单分散的（Đ = 1.00）；生物单体池在对映体上是纯的， 所以链天然具有立构规整性；而且几乎每个重复单元上都带羟基/酰胺/羰基，内聚能密度远高于 聚烯烃。本文考察的性质与局限都是这三点的推论：高刚性和高结晶度，但也伴随脆性、水敏感性， 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 材料，行为却可能很相似。链上重复的连接方式才是更好的预测变量，因为它同时决定了这种聚合物 能否在熔融中存活、以及它的降解机理，所以本文改为按主链化学组织（表 1、图 1）；来源只作为 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 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23111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111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 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本节沿一根共同的组织轴考察五个生物聚合物家族：主链的柔性，以及它所允许的分子间作用力 强度。一端是纤维素——伸展、氢键锁定的主链把它固定成一种永远不熔融的结晶固体；另一端是 天然橡胶——自由旋转的主链让它成为一种只在受力时才结晶的无定形弹性体。介于两极之间的是 分子间作用力较弱、或可离子调控的多糖（淀粉、甲壳素/壳聚糖、海藻酸盐），主链柔性允许熔融 加工但加工窗口很窄的半结晶聚酯（PHA、PLA），以及性质来自确定的二级/三级结构、而非简单链 堆积的模板折叠蛋白质。木质素——一个没有周期性链、无规交联的芳香网络——作为本节所有其他 家族的结构对立面收尾。贯穿始终要检验的论点是：决定熔融行为、水解/酶解敏感性和力学性能的 是主链化学，而不是生物来源（表 2）。图 2 把每个家族"作用力 → 结果 → 局限"的因果链一次性 总结在一张图里；下文正文只补充图上放不下的机理细节和引用。每种材料的单体结构与链尺度 空间结构分别画在各自小节（§3.1–§3.5）正文中，附录 A（图 18/19）另有完整合集。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2．七个家族的结构–性质因果链总览：主导分子间作用力 → 关键结果 → 关键局限，颜色按 主链类别区分</w:t>
      </w:r>
    </w:p>
    <w:p>
      <w:pPr>
        <w:pStyle w:val="Heading2"/>
      </w:pPr>
      <w:r>
        <w:t>3.1 多糖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61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3．多糖单体一览：纤维素、直链淀粉、壳聚糖、海藻酸盐 M/G，SMILES 与图 18 共用同一套 已核对常量；(a)/(b) 只差 C1 构型、(d)/(e) 只差 C5 构型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 带状链锁定成片层结构（Iα、Iβ）；加工只能走溶液路线（NMMO/Lyocell、LiCl/DMAc），纳米晶体/ 纳米纤丝正是利用其晶体模量作为增强填料 [2]。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8575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57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 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 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94269" cy="1737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269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5．直链淀粉左手螺旋、海藻酸盐 Ca²⁺ 蛋盒结构、壳聚糖乙酰化打断氢键网络，三格并排； 纤维素的链尺度结构已在图 4 展开，这里不重复</w:t>
      </w:r>
    </w:p>
    <w:p>
      <w:pPr>
        <w:pStyle w:val="Heading2"/>
      </w:pPr>
      <w:r>
        <w:t>3.2 聚酯：PHA 与 PLA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76997" cy="11887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699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6．PHB 与 PLLA 的重复单元，以及 PHA/PLA 的螺旋堆积（2₁/10₃ 螺旋），SMILES 与图 18 共用同一套已核对常量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 机理，在仅比 Tm 高几十度就会分解 [5]——本文中最窄的加工窗口；PHBV/PHBHHx 共聚物能拓宽 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 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93804" cy="17373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3804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7．丝素蛋白 (Gly-Ala)ₙ 与胶原蛋白 Gly-Pro-Hyp 主链重复单元，以及各自的二级结构： 丝素 β-折叠纳米晶体、胶原蛋白三螺旋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 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 不是结构材料（§8）。核糖体合成精确固定了每个蛋白质分子的链长和序列（Đ = 1.0）——这是任何 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1908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1908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8．三种单木质醇前体：对香豆醇（0 个甲氧基）、松柏醇（1 个）、芥子醇（2 个）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 的单木质醇构成了一个无规交联的网络（β-O-4 醚键约占连接方式的 45–60% [9]），其组成随植物 种类而变化，用于工业时还随提取方法而变化（硫酸盐法、有机溶剂法、木质素磺酸盐法），这正是 为什么不存在单一的"木质素"结构–性质关系。木质素没有周期性的链，所以这里只画单体，不像 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211" cy="1188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211" cy="118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9．天然橡胶单体：*顺*-1,4-聚异戊二烯重复单元；链尺度的应变诱导结晶结构见 §7.3 图 17，这里不重复画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 静置时是无定形的，但受力时应变诱导结晶（SIC）会自增强网络——这一现象已被 X 射线衍射充分 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 则是网络结构中一个主动的、依赖无性系的贡献者——而不是无关紧要的杂质 [18]。因此这里真正的 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 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 xml:space="preserve">；部分具体 </w:t>
      </w:r>
      <w:r>
        <w:rPr>
          <w:rFonts w:ascii="Consolas" w:hAnsi="Consolas"/>
          <w:i/>
          <w:sz w:val="20"/>
        </w:rPr>
        <w:t>ref</w:t>
      </w:r>
      <w:r>
        <w:rPr>
          <w:b w:val="0"/>
          <w:i w:val="0"/>
          <w:sz w:val="20"/>
        </w:rPr>
        <w:t xml:space="preserve"> 条目在提交前仍需补充材料专属 引用——见图 11–12）。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271569" cy="31089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2_scatter_z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156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i/>
        </w:rPr>
        <w:t>所有数值均为 PROVISIONAL——教学级估计范围，用于让图 11/12 与本表内部自洽；提交前必须 替换为有文献支撑的数值。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 平均值。Mn、Mw、离散度 Đ = Mw/Mn 以及聚合度（DP）是标准的描述量；Đ 之所以重要，是因为 决定加工行为和同一批次内力学性质分布宽度的，不只是 Mn 一个数字。</w:t>
      </w:r>
      <w:r>
        <w:rPr>
          <w:b/>
          <w:i w:val="0"/>
        </w:rPr>
        <w:t>离散度是合成机理的 直接读数，不是噪声</w:t>
      </w:r>
      <w:r>
        <w:rPr>
          <w:b w:val="0"/>
          <w:i w:val="0"/>
        </w:rPr>
        <w:t>（图 10）：模板控制的生物合成让蛋白质和核酸的 Đ 精确等于 1.0，而每 一条非模板路线——提取（纤维素、壳聚糖、天然橡胶）或催化聚合（PHA、PLA）——都会把分布 拓宽到一个由该路线控制严格程度决定的程度。天然橡胶是极端情形：因为它是采收而来、不是 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 聚合物没有的、来自农业的变异性。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68940" cy="173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894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 低于 Mc，强度和韧性会崩塌。在 Mc 之上，拉伸强度随 Mn 上升后趋于饱和（Flory 型关系， σ ≈ σ∞ − K/Mn），所以降解——最先表现为分子量下降——可以在只造成轻微性能损失的情况下持续 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 聚合物的分子量比合成聚合物更难：纤维素不溶于任何标准 SEC 淋洗液，需要衍生化或专门的溶剂 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 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 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 所需能量推高到接近断链能量，使两个转变挤在一起——纤维素、壳聚糖和丝素蛋白根本不出现 熔融转变。在聚酯家族中，这种"挤在一起"是量的问题：PHB 的窗口只有约 25 °C，PHBV 把它 拓宽到约 55 °C，PLLA 的窗口更宽（§3.2）。图 11 保守地画出 TGA 分解起始温度——对 PLLA 和 PHB 而言，实际可用窗口还要更窄，因为熔体水解（§4）会更早开始。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66015" cy="1737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6015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 能在断裂前拉伸的柔性链段，所以生物聚合物相对于 PE/PP/PET 普遍集中在高模量、低断裂伸长率 区间。天然橡胶是例外——静置时几乎没有模量，性能是按需通过 SIC 产生的（§3.5、§7.3）。 图 12 的窗口画成区域而不是点：样品形态、含水量、结晶度和热历史都能把同一材料的数据挪动 一个数量级，这一点会在 §7.2 中作为"批次变异性"再次出现。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54429" cy="1737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54429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 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 膨胀自由体积，所以阻隔性能会随湿度上升而下降。⚙️ 原子尺度的自由体积/扩散系数估算， 提供了一条在做包装试验之前用计算方法预测这一点的途径——这正是为什么 PLA 和淀粉基薄膜 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13-15）。聚酯通过自催化酯水解降解（每次断链产生的 酸性端基会催化进一步水解，所以内部比表面降解得更快，图 13）；多糖和蛋白质则通过酶解 降解，酶只能触及无定形链段，所以速率由可及表面积决定，而不是整体化学（图 14）。因此 结晶度再次成为本文的核心权衡——设定模量（§5.2）、阻挡吸水（§5.3）的同一个特征，也阻挡了 原本会降解材料的攻击。⚙️ 对中性/酸催化/碱催化水解计算得到的能垒，重现了图 15 中定性的 速率次序，该图仅供说明。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50694" cy="11887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a_polyester_hydro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0694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13．聚酯主链酯键水解机理，自催化本体侵蚀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73960" cy="11887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b_enzymatic_degrad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396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14．多糖/蛋白质的酶促降解，酶只能进入无定形区域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87581" cy="17373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c_hydrolysis_barr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7581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16 把 §5.1 的加工窗口转化成一个加工决策：是否存在稳定的熔融窗口决定了走熔融加工还是 溶液加工，每种材料窗口的宽度再决定这个加工过程需要控制得多严格。由此得到一个反复出现 的判断：大多数所谓"性能不足"其实是加工窗口不足，而不是材料本身的性质不足（§5.1–5.2）。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22952" cy="1737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29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16．加工路线判定流程图：是否存在稳定熔融窗口？→ 熔融加工（PBS/PHB/PLA，窗口宽度 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§3：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——唯一一项对全部家族都一致 成立的优势；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（地膜、渔具、一次性餐具），只要降解环境与 材料匹配，水解/酶解敏感性在这里就从加工负担变成了期望的性质（§5.4）；</w:t>
      </w:r>
      <w:r>
        <w:rPr>
          <w:b/>
          <w:i w:val="0"/>
        </w:rPr>
        <w:t>生物相容性/ 可生物吸收性</w:t>
      </w:r>
      <w:r>
        <w:rPr>
          <w:b w:val="0"/>
          <w:i w:val="0"/>
        </w:rPr>
        <w:t>——PLA/PGA 缝合线、胶原蛋白/海藻酸盐水凝胶、壳聚糖敷料做到了商品化合成 聚合物做不到（除非付出高昂的改性成本）的事，这是唯一一个（§8）生物聚合物是唯一可行 材料类别的领域，但这一优势不是无条件的（§7.3）；以及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响应电荷（壳聚糖）、序列编码的生物活性（丝、胶原蛋白），这些 都是生物结构自带的。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 淀粉基薄膜又更差一层 [14]——真正站得住脚的批评是湿度敏感性（§5.3），而不是笼统的 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 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 分选能把它控制在约 1%——会可测影响 rPET 性质——的阈值以下 [15]，这是分选基础设施的 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 （轮胎胎面、减震、输送带）——这是本文中最干净的同应用对比，因为差异可以归因于主链化学， 而不会被不同的加工路线混淆。图 17 画出链尺度结构起源，表 5 据此对两者在七个维度上打分， 引用编号直接列在表里，并在参考文献中展开 [10,18–32]。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92005" cy="1188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200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17．NR 与 SBR 静置/受力下的链尺度结构对比：NR 应变诱导结晶成有序束，SBR 受力后 仍保持无序；完整版另见附录图 19(f)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 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 乳液/溶液共聚工程化设定的，生产本身是一个连续的工业化过程 [20,21]。在配方相匹配的条件 下，NR 的 SIC 一开始就赋予它更强的撕裂强度和抗裂纹扩展能力 [10,23]，但 SBR 转而依靠 补强和硫化设计——而不是主链本身的结晶——达到相当的耐磨性 [24]——这是本文中主链化学与 配方相互权衡最清楚的一个例证（§6）。不过，"天然更好"的叙事经不起文献的检验：NR 乳胶 确实有一个真实的、SBR 没有的过敏风险 [27,28]，它的可再生性不会自动转化为更低的生命 周期环境足迹 [29,30]，而且出于气候和病害方面的原因，NR 的定价历来是两者中波动更大的 一个，这些原因和聚合物化学本身毫无关系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 满足这三项（§5.3），所以包装几乎总是多层或共混结构。可堆肥餐具和地膜，是 §7.1 的生物 降解性——而不是阻隔性能——驱动设计的场景，需要的是与使用时间尺度匹配的降解速率 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 基本上是独有的（§7.1，但见 §7.3 中 NR 乳胶的警示）：PGA/PLGA 是成熟的缝合线材料，主要 失效模式是水解产物导致的局部 pH 下降；胶原蛋白/海藻酸盐/壳聚糖把同样的逻辑延伸到支架 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 （§3.1、§6）和 PLA 的可熔融纺丝性（§3.2）；NR 粘合剂和 PHA/PLA 电子基板则是用可预测性 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 最有希望：酶促解聚回单体（近期酶组合 72 小时内从消费后 PLA 回收了约 60% 乳酸 [17]）； 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 而不是力学强度（§5.2）——大多数家族在刚性上达到甚至超过合成聚合物，真正失分的是加工 窗口和湿度敏感性。第二，结晶度支配着整套权衡关系（§5.4）：赋予刚性、阻挡吸水、同时也 阻挡原本会降解材料的攻击，靠的是同一个结构特征，所以提高其中一项就会可预见地压低另外 两项——NR/SBR 案例研究（§7.3）表明，同样的权衡也可以通过配方、而不只是主链化学本身来 实现。第三，分子量数据只有连同测定方法一起报告才具有可比性（§4）：使它难以测定的那些 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 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 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 再补引用时是现成来源）。</w:t>
      </w:r>
    </w:p>
    <w:p>
      <w:pPr>
        <w:pStyle w:val="Heading1"/>
      </w:pPr>
      <w:r>
        <w:t>附录 A：单体与链空间结构合集</w:t>
      </w:r>
    </w:p>
    <w:p>
      <w:pPr>
        <w:jc w:val="both"/>
      </w:pPr>
      <w:r>
        <w:rPr>
          <w:b w:val="0"/>
          <w:i w:val="0"/>
        </w:rPr>
        <w:t xml:space="preserve">正文 §3.1–§3.5 现在每一节都配了自己的单体结构图和链尺度结构图（图 3/4/5/6/7/8/9）， 紧凑版本，就近解释该节的论证；这个附录不是新论点，而是把全部材料（含只在 §7.3 出现、 正文没单独画单体的 SBR）汇总成两张完整合集图，方便一次性核对全貌——和参考文献一样， </w:t>
      </w:r>
      <w:r>
        <w:rPr>
          <w:b/>
          <w:i w:val="0"/>
        </w:rPr>
        <w:t>不计入正文 10 页的限制</w:t>
      </w:r>
      <w:r>
        <w:rPr>
          <w:b w:val="0"/>
          <w:i w:val="0"/>
        </w:rPr>
        <w:t>（OUTLINE.md："10 页，不含参考文献"）。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372" cy="21031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ppendix_monom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372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18．十五种材料的重复单元合集：纤维素、直链淀粉、壳聚糖、PHB、PLLA（同图 3/6）、 海藻酸盐 M/G（同图 3）、天然橡胶（同图 9）、SBR 的两种共聚单体（只在这里出现）、三种 木质醇前体（同图 8）、丝素蛋白与胶原蛋白主链（同图 7），RDKit 从核对过的 SMILES 绘制。 海藻酸盐 G（古洛糖醛酸）的绝对构型只核对了"与 M 互为 C5 差向异构体"这一文献公认关系， 没有独立文献 CIP 字符串可比对——提交前建议用 ChemDraw 或文献结构图再核一遍，见 `figures/verify_appendix_stereochemistry.py` 开头说明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51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appendix_chain_structur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19．六个家族的链尺度空间结构合集：(a) 直链淀粉左手螺旋（同图 5a）(b) 海藻酸盐 Ca²⁺"蛋盒"结构（同图 5b）(c) PHA/PLA 螺旋堆积（同图 6c）(d) 丝素蛋白 β-折叠纳米晶体 （同图 7c）(e) 胶原蛋白 Gly-X-Y 三螺旋（同图 7d）(f) 天然橡胶与 SBR 应变结晶对比—— 紧凑版已经放进图 17 就近说明 §7.3 的论证，这里是完整版；纤维素的链尺度结构已经在图 4 中单独展开（三级结构，比这里的示意更详细），这里不重复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