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Biopolymers: Structure, Properties and Performance Limits</w:t>
      </w:r>
    </w:p>
    <w:p>
      <w:pPr>
        <w:jc w:val="center"/>
      </w:pPr>
      <w:r>
        <w:rPr>
          <w:i/>
        </w:rPr>
        <w:t>CM3254 Project Report · [Author 1, Matric No.] · [Author 2, Matric No.] · [Date]</w:t>
      </w:r>
    </w:p>
    <w:p>
      <w:r>
        <w:rPr>
          <w:b/>
          <w:i/>
        </w:rPr>
        <w:t>AI Tool Declaration.</w:t>
      </w:r>
      <w:r>
        <w:rPr>
          <w:b w:val="0"/>
          <w:i/>
        </w:rPr>
        <w:t xml:space="preserve"> We used Claude (Anthropic) to draft and revise prose, to write the Python/RDKit/Matplotlib code that generates the figures, to find and cross-check references against Crossref, and to condense the report. The authors checked all chemistry, data and arguments and are responsible for the content and quality of the submitted work.</w:t>
      </w:r>
    </w:p>
    <w:p>
      <w:pPr>
        <w:pStyle w:val="Heading1"/>
      </w:pPr>
      <w:r>
        <w:t>1. Introduction and Definition</w:t>
      </w:r>
    </w:p>
    <w:p>
      <w:pPr>
        <w:jc w:val="both"/>
      </w:pPr>
      <w:r>
        <w:rPr>
          <w:b w:val="0"/>
          <w:i w:val="0"/>
        </w:rPr>
        <w:t xml:space="preserve">A biopolymer is a macromolecule synthesised by a living organism: polysaccharides, proteins, nucleic acids, </w:t>
      </w:r>
      <w:r>
        <w:rPr>
          <w:i/>
        </w:rPr>
        <w:t>cis</w:t>
      </w:r>
      <w:r>
        <w:rPr>
          <w:b w:val="0"/>
          <w:i w:val="0"/>
        </w:rPr>
        <w:t>-1,4-polyisoprene and lignin together account for most of the organic polymer on Earth [1]. This report also covers polymers made by polymerising biomass-derived monomers — chiefly poly(lactic acid) (PLA) — whose properties are best understood alongside the true biopolymers.</w:t>
      </w:r>
    </w:p>
    <w:p>
      <w:pPr>
        <w:jc w:val="both"/>
      </w:pPr>
      <w:r>
        <w:rPr>
          <w:b w:val="0"/>
          <w:i w:val="0"/>
        </w:rPr>
        <w:t>Three structural features set these chains apart from synthetic polymers: template-directed biosynthesis fixes chain length and sequence (proteins and nucleic acids are strictly monodisperse, Đ = 1.00); enantiomerically pure monomer pools make the chains stereoregular by default; and hydroxyl, amide or carbonyl groups on almost every repeat unit push cohesive energy densities well above the polyolefins'. Every property and limitation examined below follows from these three: high stiffness and crystallinity, but also brittleness, water sensitivity, and decomposition that arrives close to or below the melting point (§5.4).</w:t>
      </w:r>
    </w:p>
    <w:p>
      <w:pPr>
        <w:pStyle w:val="Heading1"/>
      </w:pPr>
      <w:r>
        <w:t>2. Types of Biopolymers</w:t>
      </w:r>
    </w:p>
    <w:p>
      <w:pPr>
        <w:jc w:val="both"/>
      </w:pPr>
      <w:r>
        <w:rPr>
          <w:b w:val="0"/>
          <w:i w:val="0"/>
        </w:rPr>
        <w:t xml:space="preserve">Biopolymers are usually classified first by origin — extracted from biomass, synthesised by micro-organisms, or polymerised from bio-based monomers — but origin predicts behaviour poorly: materials of the same origin can process and degrade completely differently, and materials of different origins can behave alike. The repeating backbone linkage is the better predictor, since it sets both melting survival and degradation mechanism, so this review is organised by backbone chemistry (Table 1, Fig. 1); origin is kept only as a secondary tag, since it still explains </w:t>
      </w:r>
      <w:r>
        <w:rPr>
          <w:i/>
        </w:rPr>
        <w:t>why</w:t>
      </w:r>
      <w:r>
        <w:rPr>
          <w:b w:val="0"/>
          <w:i w:val="0"/>
        </w:rPr>
        <w:t xml:space="preserve"> molecular weight and purity vary within a class (§4).</w:t>
      </w:r>
    </w:p>
    <w:p>
      <w:pPr>
        <w:spacing w:line="240" w:lineRule="auto" w:after="40"/>
      </w:pPr>
      <w:r>
        <w:rPr>
          <w:b/>
          <w:i w:val="0"/>
          <w:sz w:val="20"/>
        </w:rPr>
        <w:t>Table 1.</w:t>
      </w:r>
      <w:r>
        <w:rPr>
          <w:b w:val="0"/>
          <w:i w:val="0"/>
          <w:sz w:val="20"/>
        </w:rPr>
        <w:t xml:space="preserve"> Classification of biopolymers by backbone chemistry, the axis this review is organised on; origin (extracted / microbial / bio-monomer) is a secondary property, not the primary split.</w:t>
      </w:r>
    </w:p>
    <w:tbl>
      <w:tblPr>
        <w:tblW w:type="auto" w:w="0"/>
        <w:jc w:val="center"/>
        <w:tblLayout w:type="fixed"/>
        <w:tblLook w:firstColumn="1" w:firstRow="1" w:lastColumn="0" w:lastRow="0" w:noHBand="0" w:noVBand="1" w:val="04A0"/>
        <w:tblLayout w:type="fixed"/>
      </w:tblPr>
      <w:tblGrid>
        <w:gridCol w:w="1867"/>
        <w:gridCol w:w="1466"/>
        <w:gridCol w:w="2276"/>
        <w:gridCol w:w="3318"/>
      </w:tblGrid>
      <w:tr>
        <w:tc>
          <w:tcPr>
            <w:tcW w:type="dxa" w:w="1867"/>
            <w:tcBorders>
              <w:top w:val="single" w:sz="8" w:space="0" w:color="000000"/>
              <w:bottom w:val="single" w:sz="8" w:space="0" w:color="000000"/>
            </w:tcBorders>
          </w:tcPr>
          <w:p>
            <w:pPr>
              <w:spacing w:after="10" w:before="10" w:line="240" w:lineRule="auto"/>
            </w:pPr>
            <w:r>
              <w:rPr>
                <w:rFonts w:ascii="Arial" w:hAnsi="Arial"/>
                <w:b/>
                <w:i w:val="0"/>
                <w:sz w:val="16"/>
              </w:rPr>
              <w:t>Backbone class</w:t>
            </w:r>
          </w:p>
        </w:tc>
        <w:tc>
          <w:tcPr>
            <w:tcW w:type="dxa" w:w="1467"/>
            <w:tcBorders>
              <w:top w:val="single" w:sz="8" w:space="0" w:color="000000"/>
              <w:bottom w:val="single" w:sz="8" w:space="0" w:color="000000"/>
            </w:tcBorders>
          </w:tcPr>
          <w:p>
            <w:pPr>
              <w:spacing w:after="10" w:before="10" w:line="240" w:lineRule="auto"/>
            </w:pPr>
            <w:r>
              <w:rPr>
                <w:rFonts w:ascii="Arial" w:hAnsi="Arial"/>
                <w:b/>
                <w:i w:val="0"/>
                <w:sz w:val="16"/>
              </w:rPr>
              <w:t>Repeating linkage</w:t>
            </w:r>
          </w:p>
        </w:tc>
        <w:tc>
          <w:tcPr>
            <w:tcW w:type="dxa" w:w="2276"/>
            <w:tcBorders>
              <w:top w:val="single" w:sz="8" w:space="0" w:color="000000"/>
              <w:bottom w:val="single" w:sz="8" w:space="0" w:color="000000"/>
            </w:tcBorders>
          </w:tcPr>
          <w:p>
            <w:pPr>
              <w:spacing w:after="10" w:before="10" w:line="240" w:lineRule="auto"/>
            </w:pPr>
            <w:r>
              <w:rPr>
                <w:rFonts w:ascii="Arial" w:hAnsi="Arial"/>
                <w:b/>
                <w:i w:val="0"/>
                <w:sz w:val="16"/>
              </w:rPr>
              <w:t>Representative materials</w:t>
            </w:r>
          </w:p>
        </w:tc>
        <w:tc>
          <w:tcPr>
            <w:tcW w:type="dxa" w:w="3318"/>
            <w:tcBorders>
              <w:top w:val="single" w:sz="8" w:space="0" w:color="000000"/>
              <w:bottom w:val="single" w:sz="8" w:space="0" w:color="000000"/>
            </w:tcBorders>
          </w:tcPr>
          <w:p>
            <w:pPr>
              <w:spacing w:after="10" w:before="10" w:line="240" w:lineRule="auto"/>
            </w:pPr>
            <w:r>
              <w:rPr>
                <w:rFonts w:ascii="Arial" w:hAnsi="Arial"/>
                <w:b/>
                <w:i w:val="0"/>
                <w:sz w:val="16"/>
              </w:rPr>
              <w:t>Characteristic behaviour</w:t>
            </w:r>
          </w:p>
        </w:tc>
      </w:tr>
      <w:tr>
        <w:tc>
          <w:tcPr>
            <w:tcW w:type="dxa" w:w="1867"/>
            <w:tcBorders>
              <w:top w:val="nil"/>
              <w:bottom w:val="nil"/>
            </w:tcBorders>
          </w:tcPr>
          <w:p>
            <w:pPr>
              <w:spacing w:after="10" w:before="10" w:line="240" w:lineRule="auto"/>
            </w:pPr>
            <w:r>
              <w:rPr>
                <w:rFonts w:ascii="Arial" w:hAnsi="Arial"/>
                <w:b w:val="0"/>
                <w:i w:val="0"/>
                <w:sz w:val="16"/>
              </w:rPr>
              <w:t>Polysaccharide</w:t>
            </w:r>
          </w:p>
        </w:tc>
        <w:tc>
          <w:tcPr>
            <w:tcW w:type="dxa" w:w="1467"/>
            <w:tcBorders>
              <w:top w:val="nil"/>
              <w:bottom w:val="nil"/>
            </w:tcBorders>
          </w:tcPr>
          <w:p>
            <w:pPr>
              <w:spacing w:after="10" w:before="10" w:line="240" w:lineRule="auto"/>
            </w:pPr>
            <w:r>
              <w:rPr>
                <w:rFonts w:ascii="Arial" w:hAnsi="Arial"/>
                <w:b w:val="0"/>
                <w:i w:val="0"/>
                <w:sz w:val="16"/>
              </w:rPr>
              <w:t>glycosidic (acetal)</w:t>
            </w:r>
          </w:p>
        </w:tc>
        <w:tc>
          <w:tcPr>
            <w:tcW w:type="dxa" w:w="2276"/>
            <w:tcBorders>
              <w:top w:val="nil"/>
              <w:bottom w:val="nil"/>
            </w:tcBorders>
          </w:tcPr>
          <w:p>
            <w:pPr>
              <w:spacing w:after="10" w:before="10" w:line="240" w:lineRule="auto"/>
            </w:pPr>
            <w:r>
              <w:rPr>
                <w:rFonts w:ascii="Arial" w:hAnsi="Arial"/>
                <w:b w:val="0"/>
                <w:i w:val="0"/>
                <w:sz w:val="16"/>
              </w:rPr>
              <w:t>cellulose, starch, chitosan, alginate</w:t>
            </w:r>
          </w:p>
        </w:tc>
        <w:tc>
          <w:tcPr>
            <w:tcW w:type="dxa" w:w="3318"/>
            <w:tcBorders>
              <w:top w:val="nil"/>
              <w:bottom w:val="nil"/>
            </w:tcBorders>
          </w:tcPr>
          <w:p>
            <w:pPr>
              <w:spacing w:after="10" w:before="10" w:line="240" w:lineRule="auto"/>
            </w:pPr>
            <w:r>
              <w:rPr>
                <w:rFonts w:ascii="Arial" w:hAnsi="Arial"/>
                <w:b w:val="0"/>
                <w:i w:val="0"/>
                <w:sz w:val="16"/>
              </w:rPr>
              <w:t>dense inter-chain hydrogen bonding; decomposition before melting; enzymatic degradation</w:t>
            </w:r>
          </w:p>
        </w:tc>
      </w:tr>
      <w:tr>
        <w:tc>
          <w:tcPr>
            <w:tcW w:type="dxa" w:w="1867"/>
            <w:tcBorders>
              <w:top w:val="nil"/>
              <w:bottom w:val="nil"/>
            </w:tcBorders>
          </w:tcPr>
          <w:p>
            <w:pPr>
              <w:spacing w:after="10" w:before="10" w:line="240" w:lineRule="auto"/>
            </w:pPr>
            <w:r>
              <w:rPr>
                <w:rFonts w:ascii="Arial" w:hAnsi="Arial"/>
                <w:b w:val="0"/>
                <w:i w:val="0"/>
                <w:sz w:val="16"/>
              </w:rPr>
              <w:t>Polyester</w:t>
            </w:r>
          </w:p>
        </w:tc>
        <w:tc>
          <w:tcPr>
            <w:tcW w:type="dxa" w:w="1467"/>
            <w:tcBorders>
              <w:top w:val="nil"/>
              <w:bottom w:val="nil"/>
            </w:tcBorders>
          </w:tcPr>
          <w:p>
            <w:pPr>
              <w:spacing w:after="10" w:before="10" w:line="240" w:lineRule="auto"/>
            </w:pPr>
            <w:r>
              <w:rPr>
                <w:rFonts w:ascii="Arial" w:hAnsi="Arial"/>
                <w:b w:val="0"/>
                <w:i w:val="0"/>
                <w:sz w:val="16"/>
              </w:rPr>
              <w:t>ester</w:t>
            </w:r>
          </w:p>
        </w:tc>
        <w:tc>
          <w:tcPr>
            <w:tcW w:type="dxa" w:w="2276"/>
            <w:tcBorders>
              <w:top w:val="nil"/>
              <w:bottom w:val="nil"/>
            </w:tcBorders>
          </w:tcPr>
          <w:p>
            <w:pPr>
              <w:spacing w:after="10" w:before="10" w:line="240" w:lineRule="auto"/>
            </w:pPr>
            <w:r>
              <w:rPr>
                <w:rFonts w:ascii="Arial" w:hAnsi="Arial"/>
                <w:b w:val="0"/>
                <w:i w:val="0"/>
                <w:sz w:val="16"/>
              </w:rPr>
              <w:t>PHA, PLA</w:t>
            </w:r>
          </w:p>
        </w:tc>
        <w:tc>
          <w:tcPr>
            <w:tcW w:type="dxa" w:w="3318"/>
            <w:tcBorders>
              <w:top w:val="nil"/>
              <w:bottom w:val="nil"/>
            </w:tcBorders>
          </w:tcPr>
          <w:p>
            <w:pPr>
              <w:spacing w:after="10" w:before="10" w:line="240" w:lineRule="auto"/>
            </w:pPr>
            <w:r>
              <w:rPr>
                <w:rFonts w:ascii="Arial" w:hAnsi="Arial"/>
                <w:b w:val="0"/>
                <w:i w:val="0"/>
                <w:sz w:val="16"/>
              </w:rPr>
              <w:t>melt-processable but thermally labile; autocatalytic hydrolysis</w:t>
            </w:r>
          </w:p>
        </w:tc>
      </w:tr>
      <w:tr>
        <w:tc>
          <w:tcPr>
            <w:tcW w:type="dxa" w:w="1867"/>
            <w:tcBorders>
              <w:top w:val="nil"/>
              <w:bottom w:val="nil"/>
            </w:tcBorders>
          </w:tcPr>
          <w:p>
            <w:pPr>
              <w:spacing w:after="10" w:before="10" w:line="240" w:lineRule="auto"/>
            </w:pPr>
            <w:r>
              <w:rPr>
                <w:rFonts w:ascii="Arial" w:hAnsi="Arial"/>
                <w:b w:val="0"/>
                <w:i w:val="0"/>
                <w:sz w:val="16"/>
              </w:rPr>
              <w:t>Protein</w:t>
            </w:r>
          </w:p>
        </w:tc>
        <w:tc>
          <w:tcPr>
            <w:tcW w:type="dxa" w:w="1467"/>
            <w:tcBorders>
              <w:top w:val="nil"/>
              <w:bottom w:val="nil"/>
            </w:tcBorders>
          </w:tcPr>
          <w:p>
            <w:pPr>
              <w:spacing w:after="10" w:before="10" w:line="240" w:lineRule="auto"/>
            </w:pPr>
            <w:r>
              <w:rPr>
                <w:rFonts w:ascii="Arial" w:hAnsi="Arial"/>
                <w:b w:val="0"/>
                <w:i w:val="0"/>
                <w:sz w:val="16"/>
              </w:rPr>
              <w:t>amide</w:t>
            </w:r>
          </w:p>
        </w:tc>
        <w:tc>
          <w:tcPr>
            <w:tcW w:type="dxa" w:w="2276"/>
            <w:tcBorders>
              <w:top w:val="nil"/>
              <w:bottom w:val="nil"/>
            </w:tcBorders>
          </w:tcPr>
          <w:p>
            <w:pPr>
              <w:spacing w:after="10" w:before="10" w:line="240" w:lineRule="auto"/>
            </w:pPr>
            <w:r>
              <w:rPr>
                <w:rFonts w:ascii="Arial" w:hAnsi="Arial"/>
                <w:b w:val="0"/>
                <w:i w:val="0"/>
                <w:sz w:val="16"/>
              </w:rPr>
              <w:t>silk fibroin, collagen/gelatin</w:t>
            </w:r>
          </w:p>
        </w:tc>
        <w:tc>
          <w:tcPr>
            <w:tcW w:type="dxa" w:w="3318"/>
            <w:tcBorders>
              <w:top w:val="nil"/>
              <w:bottom w:val="nil"/>
            </w:tcBorders>
          </w:tcPr>
          <w:p>
            <w:pPr>
              <w:spacing w:after="10" w:before="10" w:line="240" w:lineRule="auto"/>
            </w:pPr>
            <w:r>
              <w:rPr>
                <w:rFonts w:ascii="Arial" w:hAnsi="Arial"/>
                <w:b w:val="0"/>
                <w:i w:val="0"/>
                <w:sz w:val="16"/>
              </w:rPr>
              <w:t>sequence-defined and monodisperse; conformation-controlled properties</w:t>
            </w:r>
          </w:p>
        </w:tc>
      </w:tr>
      <w:tr>
        <w:tc>
          <w:tcPr>
            <w:tcW w:type="dxa" w:w="1867"/>
            <w:tcBorders>
              <w:top w:val="nil"/>
              <w:bottom w:val="nil"/>
            </w:tcBorders>
          </w:tcPr>
          <w:p>
            <w:pPr>
              <w:spacing w:after="10" w:before="10" w:line="240" w:lineRule="auto"/>
            </w:pPr>
            <w:r>
              <w:rPr>
                <w:rFonts w:ascii="Arial" w:hAnsi="Arial"/>
                <w:b w:val="0"/>
                <w:i w:val="0"/>
                <w:sz w:val="16"/>
              </w:rPr>
              <w:t>Polyphenolic</w:t>
            </w:r>
          </w:p>
        </w:tc>
        <w:tc>
          <w:tcPr>
            <w:tcW w:type="dxa" w:w="1467"/>
            <w:tcBorders>
              <w:top w:val="nil"/>
              <w:bottom w:val="nil"/>
            </w:tcBorders>
          </w:tcPr>
          <w:p>
            <w:pPr>
              <w:spacing w:after="10" w:before="10" w:line="240" w:lineRule="auto"/>
            </w:pPr>
            <w:r>
              <w:rPr>
                <w:rFonts w:ascii="Arial" w:hAnsi="Arial"/>
                <w:b w:val="0"/>
                <w:i w:val="0"/>
                <w:sz w:val="16"/>
              </w:rPr>
              <w:t>β-O-4 ether, C–C</w:t>
            </w:r>
          </w:p>
        </w:tc>
        <w:tc>
          <w:tcPr>
            <w:tcW w:type="dxa" w:w="2276"/>
            <w:tcBorders>
              <w:top w:val="nil"/>
              <w:bottom w:val="nil"/>
            </w:tcBorders>
          </w:tcPr>
          <w:p>
            <w:pPr>
              <w:spacing w:after="10" w:before="10" w:line="240" w:lineRule="auto"/>
            </w:pPr>
            <w:r>
              <w:rPr>
                <w:rFonts w:ascii="Arial" w:hAnsi="Arial"/>
                <w:b w:val="0"/>
                <w:i w:val="0"/>
                <w:sz w:val="16"/>
              </w:rPr>
              <w:t>lignin</w:t>
            </w:r>
          </w:p>
        </w:tc>
        <w:tc>
          <w:tcPr>
            <w:tcW w:type="dxa" w:w="3318"/>
            <w:tcBorders>
              <w:top w:val="nil"/>
              <w:bottom w:val="nil"/>
            </w:tcBorders>
          </w:tcPr>
          <w:p>
            <w:pPr>
              <w:spacing w:after="10" w:before="10" w:line="240" w:lineRule="auto"/>
            </w:pPr>
            <w:r>
              <w:rPr>
                <w:rFonts w:ascii="Arial" w:hAnsi="Arial"/>
                <w:b w:val="0"/>
                <w:i w:val="0"/>
                <w:sz w:val="16"/>
              </w:rPr>
              <w:t>irregular, cross-linked, amorphous; chemically recalcitrant</w:t>
            </w:r>
          </w:p>
        </w:tc>
      </w:tr>
      <w:tr>
        <w:tc>
          <w:tcPr>
            <w:tcW w:type="dxa" w:w="1867"/>
            <w:tcBorders>
              <w:top w:val="nil"/>
              <w:bottom w:val="single" w:sz="8" w:space="0" w:color="000000"/>
            </w:tcBorders>
          </w:tcPr>
          <w:p>
            <w:pPr>
              <w:spacing w:after="10" w:before="10" w:line="240" w:lineRule="auto"/>
            </w:pPr>
            <w:r>
              <w:rPr>
                <w:rFonts w:ascii="Arial" w:hAnsi="Arial"/>
                <w:b w:val="0"/>
                <w:i w:val="0"/>
                <w:sz w:val="16"/>
              </w:rPr>
              <w:t>Polyisoprene</w:t>
            </w:r>
          </w:p>
        </w:tc>
        <w:tc>
          <w:tcPr>
            <w:tcW w:type="dxa" w:w="1467"/>
            <w:tcBorders>
              <w:top w:val="nil"/>
              <w:bottom w:val="single" w:sz="8" w:space="0" w:color="000000"/>
            </w:tcBorders>
          </w:tcPr>
          <w:p>
            <w:pPr>
              <w:spacing w:after="10" w:before="10" w:line="240" w:lineRule="auto"/>
            </w:pPr>
            <w:r>
              <w:rPr>
                <w:rFonts w:ascii="Arial" w:hAnsi="Arial"/>
                <w:b w:val="0"/>
                <w:i w:val="0"/>
                <w:sz w:val="16"/>
              </w:rPr>
              <w:t>C–C</w:t>
            </w:r>
          </w:p>
        </w:tc>
        <w:tc>
          <w:tcPr>
            <w:tcW w:type="dxa" w:w="2276"/>
            <w:tcBorders>
              <w:top w:val="nil"/>
              <w:bottom w:val="single" w:sz="8" w:space="0" w:color="000000"/>
            </w:tcBorders>
          </w:tcPr>
          <w:p>
            <w:pPr>
              <w:spacing w:after="10" w:before="10" w:line="240" w:lineRule="auto"/>
            </w:pPr>
            <w:r>
              <w:rPr>
                <w:rFonts w:ascii="Arial" w:hAnsi="Arial"/>
                <w:b w:val="0"/>
                <w:i w:val="0"/>
                <w:sz w:val="16"/>
              </w:rPr>
              <w:t>natural rubber</w:t>
            </w:r>
          </w:p>
        </w:tc>
        <w:tc>
          <w:tcPr>
            <w:tcW w:type="dxa" w:w="3318"/>
            <w:tcBorders>
              <w:top w:val="nil"/>
              <w:bottom w:val="single" w:sz="8" w:space="0" w:color="000000"/>
            </w:tcBorders>
          </w:tcPr>
          <w:p>
            <w:pPr>
              <w:spacing w:after="10" w:before="10" w:line="240" w:lineRule="auto"/>
            </w:pPr>
            <w:r>
              <w:rPr>
                <w:rFonts w:ascii="Arial" w:hAnsi="Arial"/>
                <w:b w:val="0"/>
                <w:i w:val="0"/>
                <w:sz w:val="16"/>
              </w:rPr>
              <w:t>elastomeric; strain-induced crystallisation</w:t>
            </w:r>
          </w:p>
        </w:tc>
      </w:tr>
    </w:tbl>
    <w:p>
      <w:pPr>
        <w:spacing w:after="0" w:line="240" w:lineRule="auto"/>
      </w:pPr>
    </w:p>
    <w:p>
      <w:pPr>
        <w:keepNext/>
        <w:spacing w:after="40"/>
        <w:jc w:val="center"/>
      </w:pPr>
      <w:r>
        <w:drawing>
          <wp:inline xmlns:a="http://schemas.openxmlformats.org/drawingml/2006/main" xmlns:pic="http://schemas.openxmlformats.org/drawingml/2006/picture">
            <wp:extent cx="2184584" cy="1645919"/>
            <wp:docPr id="1" name="Picture 1"/>
            <wp:cNvGraphicFramePr>
              <a:graphicFrameLocks noChangeAspect="1"/>
            </wp:cNvGraphicFramePr>
            <a:graphic>
              <a:graphicData uri="http://schemas.openxmlformats.org/drawingml/2006/picture">
                <pic:pic>
                  <pic:nvPicPr>
                    <pic:cNvPr id="0" name="fig1_classification.png"/>
                    <pic:cNvPicPr/>
                  </pic:nvPicPr>
                  <pic:blipFill>
                    <a:blip r:embed="rId9"/>
                    <a:stretch>
                      <a:fillRect/>
                    </a:stretch>
                  </pic:blipFill>
                  <pic:spPr>
                    <a:xfrm>
                      <a:off x="0" y="0"/>
                      <a:ext cx="2184584" cy="1645919"/>
                    </a:xfrm>
                    <a:prstGeom prst="rect"/>
                  </pic:spPr>
                </pic:pic>
              </a:graphicData>
            </a:graphic>
          </wp:inline>
        </w:drawing>
      </w:r>
    </w:p>
    <w:p>
      <w:pPr>
        <w:spacing w:line="240" w:lineRule="auto" w:after="80"/>
        <w:jc w:val="center"/>
      </w:pPr>
      <w:r>
        <w:rPr>
          <w:i/>
          <w:sz w:val="20"/>
        </w:rPr>
        <w:t>Figure 1. Classification by backbone chemistry (primary branches, coloured, matching Table 1 and Fig. 2), with each material's origin shown as a small E/M/S tag: extracted from biomass, synthesised by micro-organisms, or polymerised from bio-based monomers</w:t>
      </w:r>
    </w:p>
    <w:p>
      <w:pPr>
        <w:pStyle w:val="Heading1"/>
      </w:pPr>
      <w:r>
        <w:t>3. Structure–Property Relationships of the Major Biopolymer Families</w:t>
      </w:r>
    </w:p>
    <w:p>
      <w:pPr>
        <w:jc w:val="both"/>
      </w:pPr>
      <w:r>
        <w:rPr>
          <w:b w:val="0"/>
          <w:i w:val="0"/>
        </w:rPr>
        <w:t>Each material below leads with its defining property and the use it enables, then the structural reason. The families run from cellulose (stiffest, never melts) to natural rubber (no stiffness at rest, generated on demand under load). The claim tested throughout: backbone chemistry, not biological origin, predicts melting, hydrolytic/enzymatic susceptibility and mechanical performance (numbers in Table 2). Fig. 2 gives the force → consequence → limitation chain per family; Fig. 3 collects the repeat units and Fig. 4 the higher-order structure.</w:t>
      </w:r>
    </w:p>
    <w:p>
      <w:pPr>
        <w:keepNext/>
        <w:spacing w:after="40"/>
        <w:jc w:val="center"/>
      </w:pPr>
      <w:r>
        <w:drawing>
          <wp:inline xmlns:a="http://schemas.openxmlformats.org/drawingml/2006/main" xmlns:pic="http://schemas.openxmlformats.org/drawingml/2006/picture">
            <wp:extent cx="2419318" cy="1828800"/>
            <wp:docPr id="2" name="Picture 2"/>
            <wp:cNvGraphicFramePr>
              <a:graphicFrameLocks noChangeAspect="1"/>
            </wp:cNvGraphicFramePr>
            <a:graphic>
              <a:graphicData uri="http://schemas.openxmlformats.org/drawingml/2006/picture">
                <pic:pic>
                  <pic:nvPicPr>
                    <pic:cNvPr id="0" name="fig7_causality_chain.png"/>
                    <pic:cNvPicPr/>
                  </pic:nvPicPr>
                  <pic:blipFill>
                    <a:blip r:embed="rId10"/>
                    <a:stretch>
                      <a:fillRect/>
                    </a:stretch>
                  </pic:blipFill>
                  <pic:spPr>
                    <a:xfrm>
                      <a:off x="0" y="0"/>
                      <a:ext cx="2419318" cy="1828800"/>
                    </a:xfrm>
                    <a:prstGeom prst="rect"/>
                  </pic:spPr>
                </pic:pic>
              </a:graphicData>
            </a:graphic>
          </wp:inline>
        </w:drawing>
      </w:r>
    </w:p>
    <w:p>
      <w:pPr>
        <w:spacing w:line="240" w:lineRule="auto" w:after="80"/>
        <w:jc w:val="center"/>
      </w:pPr>
      <w:r>
        <w:rPr>
          <w:i/>
          <w:sz w:val="20"/>
        </w:rPr>
        <w:t>Figure 2. Structure–property causal chain, one row per family: dominant intermolecular force → key consequence → key limitation. The five backbone classes of Table 1 appear as seven rows (polysaccharides and polyesters are each split into two, since their two members behave distinctly). Colour follows the backbone-chemistry class; arrows read left to right as one causal chain per family.</w:t>
      </w:r>
    </w:p>
    <w:p>
      <w:pPr>
        <w:pStyle w:val="Heading2"/>
      </w:pPr>
      <w:r>
        <w:t>3.1 Polysaccharides</w:t>
      </w:r>
    </w:p>
    <w:p>
      <w:pPr>
        <w:jc w:val="both"/>
      </w:pPr>
      <w:r>
        <w:rPr>
          <w:b/>
          <w:i w:val="0"/>
        </w:rPr>
        <w:t>Cellulose</w:t>
      </w:r>
      <w:r>
        <w:rPr>
          <w:b w:val="0"/>
          <w:i w:val="0"/>
        </w:rPr>
        <w:t xml:space="preserve"> is the stiffest material in this review — an axial crystal modulus of ~130–150 GPa, regenerated fibres reaching 10–30 GPa [35] — and it never melts, decomposing near 300 °C. That combination puts it into Lyocell and viscose textile fibre [36], transparent film, and cellulose nanocrystals/nanofibrils used as reinforcing filler [2], all shaped from solution because there is no melt step. The reason is structural: the linear β-(1→4) chain (Fig. 3a) forms an extended ribbon hydrogen-bonded into stacked Iα/Iβ sheets (Fig. 4a) whose cumulative cohesive energy exceeds the backbone bond strength [33,34], so processing is restricted to solvents that break that network (NMMO/Lyocell [37], LiCl/DMAc).</w:t>
      </w:r>
    </w:p>
    <w:p>
      <w:pPr>
        <w:jc w:val="both"/>
      </w:pPr>
      <w:r>
        <w:rPr>
          <w:b/>
          <w:i w:val="0"/>
        </w:rPr>
        <w:t>Starch</w:t>
      </w:r>
      <w:r>
        <w:rPr>
          <w:b w:val="0"/>
          <w:i w:val="0"/>
        </w:rPr>
        <w:t>, plasticised into thermoplastic starch, is soft and cheap (modulus 0.02–1 GPa) but humidity-sensitive and prone to retrogradation on storage [38] — so it is used mostly in blends (with PLA or PBAT) for compostable bags, foamed trays and mulch film. This comes from topology, not chemistry: amylose/amylopectin branching gives a weak, humidity-reversible crystallinity, and amylose coils into a water-plasticised helix (Fig. 4b).</w:t>
      </w:r>
    </w:p>
    <w:p>
      <w:pPr>
        <w:jc w:val="both"/>
      </w:pPr>
      <w:r>
        <w:rPr>
          <w:b/>
          <w:i w:val="0"/>
        </w:rPr>
        <w:t>Chitosan</w:t>
      </w:r>
      <w:r>
        <w:rPr>
          <w:b w:val="0"/>
          <w:i w:val="0"/>
        </w:rPr>
        <w:t xml:space="preserve"> is used less for mechanics (film modulus 1–4 GPa) than for being a polycation in dilute acid: antimicrobial, metal-binding and mucoadhesive, in wound dressings, antimicrobial coatings and water treatment [39]. Its degree of deacetylation (DD) sets solubility and charge, but raising DD in alkali also cleaves the backbone, so high-DD grades are low-MW [3].</w:t>
      </w:r>
    </w:p>
    <w:p>
      <w:pPr>
        <w:jc w:val="both"/>
      </w:pPr>
      <w:r>
        <w:rPr>
          <w:b/>
          <w:i w:val="0"/>
        </w:rPr>
        <w:t>Alginate</w:t>
      </w:r>
      <w:r>
        <w:rPr>
          <w:b w:val="0"/>
          <w:i w:val="0"/>
        </w:rPr>
        <w:t xml:space="preserve"> forms a soft ionic gel at room temperature when Ca²⁺ bridges its guluronate blocks in an "egg-box" junction [4] (Fig. 4c), reversible with a chelator — the basis of alginate hydrogels for wound dressings, cell encapsulation and bioprinting, and of its use as a food thickener. G-content tunes the stiffness–brittleness balance (§8). Hyaluronic acid, carrageenan, xanthan and pectin follow the same linkage-chemistry logic.</w:t>
      </w:r>
    </w:p>
    <w:p>
      <w:pPr>
        <w:keepNext/>
        <w:spacing w:after="40"/>
        <w:jc w:val="center"/>
      </w:pPr>
      <w:r>
        <w:drawing>
          <wp:inline xmlns:a="http://schemas.openxmlformats.org/drawingml/2006/main" xmlns:pic="http://schemas.openxmlformats.org/drawingml/2006/picture">
            <wp:extent cx="4783473" cy="2926080"/>
            <wp:docPr id="3" name="Picture 3"/>
            <wp:cNvGraphicFramePr>
              <a:graphicFrameLocks noChangeAspect="1"/>
            </wp:cNvGraphicFramePr>
            <a:graphic>
              <a:graphicData uri="http://schemas.openxmlformats.org/drawingml/2006/picture">
                <pic:pic>
                  <pic:nvPicPr>
                    <pic:cNvPr id="0" name="fig_repeat_units_all.png"/>
                    <pic:cNvPicPr/>
                  </pic:nvPicPr>
                  <pic:blipFill>
                    <a:blip r:embed="rId11"/>
                    <a:stretch>
                      <a:fillRect/>
                    </a:stretch>
                  </pic:blipFill>
                  <pic:spPr>
                    <a:xfrm>
                      <a:off x="0" y="0"/>
                      <a:ext cx="4783473" cy="2926080"/>
                    </a:xfrm>
                    <a:prstGeom prst="rect"/>
                  </pic:spPr>
                </pic:pic>
              </a:graphicData>
            </a:graphic>
          </wp:inline>
        </w:drawing>
      </w:r>
    </w:p>
    <w:p>
      <w:pPr>
        <w:spacing w:line="240" w:lineRule="auto" w:after="80"/>
        <w:jc w:val="center"/>
      </w:pPr>
      <w:r>
        <w:rPr>
          <w:i/>
          <w:sz w:val="20"/>
        </w:rPr>
        <w:t>Figure 3. Repeat units, drawn by the authors with RDKit from stereochemistry-checked SMILES, coloured by backbone class. Polysaccharides (a)–(e): cellulose, amylose, chitosan, alginate M, alginate G — (a)/(b) differ only at C1, (d)/(e) only at C5. Polyesters (f)–(g): PHB, PLLA, (R)/(S) marked. Proteins (h)–(i): silk fibroin (Gly-Ala)ₙ, collagen Gly-Pro-Hyp. Lignin precursors (j)–(l): p-coumaryl / coniferyl / sinapyl alcohol (0/1/2 methoxy). Rubber (m): cis-1,4-polyisoprene. Alginate G is verified only as the C5 epimer of M — cross-check before submission.</w:t>
      </w:r>
    </w:p>
    <w:p>
      <w:pPr>
        <w:pStyle w:val="Heading2"/>
      </w:pPr>
      <w:r>
        <w:t>3.2 Polyesters: PHA and PLA</w:t>
      </w:r>
    </w:p>
    <w:p>
      <w:pPr>
        <w:jc w:val="both"/>
      </w:pPr>
      <w:r>
        <w:rPr>
          <w:b/>
          <w:i w:val="0"/>
        </w:rPr>
        <w:t>PHA</w:t>
      </w:r>
      <w:r>
        <w:rPr>
          <w:b w:val="0"/>
          <w:i w:val="0"/>
        </w:rPr>
        <w:t xml:space="preserve"> (PHB the archetype, Fig. 3f) is a stiff (1.5–4 GPa), brittle (2–8% elongation), fully biodegradable thermoplastic for rigid packaging, coatings and compostable items — but its processing window is the narrowest here, ~25 °C, because it decomposes by six-membered-ring </w:t>
      </w:r>
      <w:r>
        <w:rPr>
          <w:i/>
        </w:rPr>
        <w:t>cis</w:t>
      </w:r>
      <w:r>
        <w:rPr>
          <w:b w:val="0"/>
          <w:i w:val="0"/>
        </w:rPr>
        <w:t xml:space="preserve">-elimination just above Tm [5]; PHBV/PHBHHx copolymers widen it to ~55 °C at the cost of stiffness. </w:t>
      </w:r>
      <w:r>
        <w:rPr>
          <w:b/>
          <w:i w:val="0"/>
        </w:rPr>
        <w:t>PLA</w:t>
      </w:r>
      <w:r>
        <w:rPr>
          <w:b w:val="0"/>
          <w:i w:val="0"/>
        </w:rPr>
        <w:t xml:space="preserve"> is the workhorse bio-based plastic — 3D-printing filament, food serviceware, fibre, resorbable sutures (as PLGA) — with modulus 2.5–4 GPa but a low Tg (~60 °C) heat ceiling (§7.2). Its useful MW needs ring-opening polymerisation of lactide (Sn(Oct)₂ coordination–insertion [40,41]); a PLLA/PDLA stereocomplex co-crystallises ~50 °C higher through tighter enantiomeric packing [6,7]. Both pack as helices that still melt (Fig. 4d); PBS and PEF share the ester logic (§8).</w:t>
      </w:r>
    </w:p>
    <w:p>
      <w:pPr>
        <w:pStyle w:val="Heading2"/>
      </w:pPr>
      <w:r>
        <w:t>3.3 Protein-based Polymers</w:t>
      </w:r>
    </w:p>
    <w:p>
      <w:pPr>
        <w:jc w:val="both"/>
      </w:pPr>
      <w:r>
        <w:rPr>
          <w:b/>
          <w:i w:val="0"/>
        </w:rPr>
        <w:t>Silk fibroin</w:t>
      </w:r>
      <w:r>
        <w:rPr>
          <w:b w:val="0"/>
          <w:i w:val="0"/>
        </w:rPr>
        <w:t xml:space="preserve"> (Fig. 3h) combines high strength with high toughness — rare among any polymer — which makes it a premium suture and tissue-scaffold material and a model tough fibre; the source is β-sheet nanocrystallites (2–4 nm) dispersed in a compliant amorphous matrix (Fig. 4e) [8]. </w:t>
      </w:r>
      <w:r>
        <w:rPr>
          <w:b/>
          <w:i w:val="0"/>
        </w:rPr>
        <w:t>Collagen</w:t>
      </w:r>
      <w:r>
        <w:rPr>
          <w:b w:val="0"/>
          <w:i w:val="0"/>
        </w:rPr>
        <w:t xml:space="preserve"> and its denatured form </w:t>
      </w:r>
      <w:r>
        <w:rPr>
          <w:b/>
          <w:i w:val="0"/>
        </w:rPr>
        <w:t>gelatin</w:t>
      </w:r>
      <w:r>
        <w:rPr>
          <w:b w:val="0"/>
          <w:i w:val="0"/>
        </w:rPr>
        <w:t xml:space="preserve"> are used as hydrogels, tissue scaffolds and encapsulants: the Gly-X-Y triple helix (Fig. 4f), stabilised by the stereoelectronic effect of hydroxyproline [45], unfolds irreversibly into gelatin on heating. Zein, casein and soy are film-forming, not structural (§8). Because every protein is ribosomally templated, its chains are exactly monodisperse (Đ = 1.0) — unmatched by any non-templated biopolymer (§4).</w:t>
      </w:r>
    </w:p>
    <w:p>
      <w:pPr>
        <w:keepNext/>
        <w:spacing w:after="40"/>
        <w:jc w:val="center"/>
      </w:pPr>
      <w:r>
        <w:drawing>
          <wp:inline xmlns:a="http://schemas.openxmlformats.org/drawingml/2006/main" xmlns:pic="http://schemas.openxmlformats.org/drawingml/2006/picture">
            <wp:extent cx="4858808" cy="2286000"/>
            <wp:docPr id="4" name="Picture 4"/>
            <wp:cNvGraphicFramePr>
              <a:graphicFrameLocks noChangeAspect="1"/>
            </wp:cNvGraphicFramePr>
            <a:graphic>
              <a:graphicData uri="http://schemas.openxmlformats.org/drawingml/2006/picture">
                <pic:pic>
                  <pic:nvPicPr>
                    <pic:cNvPr id="0" name="fig_higher_order_all.png"/>
                    <pic:cNvPicPr/>
                  </pic:nvPicPr>
                  <pic:blipFill>
                    <a:blip r:embed="rId12"/>
                    <a:stretch>
                      <a:fillRect/>
                    </a:stretch>
                  </pic:blipFill>
                  <pic:spPr>
                    <a:xfrm>
                      <a:off x="0" y="0"/>
                      <a:ext cx="4858808" cy="2286000"/>
                    </a:xfrm>
                    <a:prstGeom prst="rect"/>
                  </pic:spPr>
                </pic:pic>
              </a:graphicData>
            </a:graphic>
          </wp:inline>
        </w:drawing>
      </w:r>
    </w:p>
    <w:p>
      <w:pPr>
        <w:spacing w:line="240" w:lineRule="auto" w:after="80"/>
        <w:jc w:val="center"/>
      </w:pPr>
      <w:r>
        <w:rPr>
          <w:i/>
          <w:sz w:val="20"/>
        </w:rPr>
        <w:t>Figure 4. Higher-order structure, drawn by the authors: (a) cellulose ribbon → hydrogen-bonded sheet → Iα/Iβ crystal; (b) amylose left-handed helix; (c) alginate Ca²⁺ "egg-box" G-block junction; (d) PHA/PLA helical packing (PHB 2₁, PLLA 10₃); (e) silk antiparallel β-sheet nanocrystallites (2–4 nm) in an amorphous matrix; (f) collagen Gly-X-Y triple helix, glycine at every third position. The mechanistic significance of each is discussed in §3.1–§3.5.</w:t>
      </w:r>
    </w:p>
    <w:p>
      <w:pPr>
        <w:pStyle w:val="Heading2"/>
      </w:pPr>
      <w:r>
        <w:t>3.4 Lignin</w:t>
      </w:r>
    </w:p>
    <w:p>
      <w:pPr>
        <w:jc w:val="both"/>
      </w:pPr>
      <w:r>
        <w:rPr>
          <w:b/>
          <w:i w:val="0"/>
        </w:rPr>
        <w:t>Lignin</w:t>
      </w:r>
      <w:r>
        <w:rPr>
          <w:b w:val="0"/>
          <w:i w:val="0"/>
        </w:rPr>
        <w:t xml:space="preserve"> is the second most abundant terrestrial biopolymer and a low-cost pulping by-product, used as a filler, carbon-fibre precursor and antioxidant/UV additive, with partial replacement of phenol–formaldehyde resins an active target. It has no single structure–property relationship: radical coupling of the three monolignols (Fig. 3j–l) gives an irregular cross-linked network (β-O-4 ether ~45–60% of linkages [9]) with no periodic chain, whose composition varies by species and by extraction method — kraft, organosolv, lignosulfonate [54].</w:t>
      </w:r>
    </w:p>
    <w:p>
      <w:pPr>
        <w:pStyle w:val="Heading2"/>
      </w:pPr>
      <w:r>
        <w:t>3.5 Natural Rubber</w:t>
      </w:r>
    </w:p>
    <w:p>
      <w:pPr>
        <w:jc w:val="both"/>
      </w:pPr>
      <w:r>
        <w:rPr>
          <w:b/>
          <w:i w:val="0"/>
        </w:rPr>
        <w:t>Natural rubber</w:t>
      </w:r>
      <w:r>
        <w:rPr>
          <w:b w:val="0"/>
          <w:i w:val="0"/>
        </w:rPr>
        <w:t xml:space="preserve"> has essentially no modulus at rest (0.001–0.005 GPa) yet outstanding tear and fatigue resistance under load — the property that keeps it in tyres, engine mounts, gloves and adhesives despite synthetic competition. That performance is generated on demand: </w:t>
      </w:r>
      <w:r>
        <w:rPr>
          <w:i/>
        </w:rPr>
        <w:t>cis</w:t>
      </w:r>
      <w:r>
        <w:rPr>
          <w:b w:val="0"/>
          <w:i w:val="0"/>
        </w:rPr>
        <w:t xml:space="preserve">-1,4- polyisoprene is amorphous when relaxed, but strain-induced crystallisation (SIC) self-reinforces the network when stretched — well documented by X-ray diffraction and largely absent in synthetic </w:t>
      </w:r>
      <w:r>
        <w:rPr>
          <w:i/>
        </w:rPr>
        <w:t>cis</w:t>
      </w:r>
      <w:r>
        <w:rPr>
          <w:b w:val="0"/>
          <w:i w:val="0"/>
        </w:rPr>
        <w:t xml:space="preserve">-polyisoprene [10]. SIC is not a fixed material constant, though: NR's molecular weight and distribution vary between </w:t>
      </w:r>
      <w:r>
        <w:rPr>
          <w:i/>
        </w:rPr>
        <w:t>Hevea</w:t>
      </w:r>
      <w:r>
        <w:rPr>
          <w:b w:val="0"/>
          <w:i w:val="0"/>
        </w:rPr>
        <w:t xml:space="preserve"> clones and with tree age [19], and non-rubber protein/gel content is an active, clone-dependent contributor to the network, not an impurity [18]. The organising variable is therefore </w:t>
      </w:r>
      <w:r>
        <w:rPr>
          <w:i/>
        </w:rPr>
        <w:t>intermolecular architecture under the conditions of use</w:t>
      </w:r>
      <w:r>
        <w:rPr>
          <w:b w:val="0"/>
          <w:i w:val="0"/>
        </w:rPr>
        <w:t xml:space="preserve"> — tested against a synthetic analogue in §7.3.</w:t>
      </w:r>
    </w:p>
    <w:p>
      <w:pPr>
        <w:spacing w:line="240" w:lineRule="auto" w:after="40"/>
      </w:pPr>
      <w:r>
        <w:rPr>
          <w:b/>
          <w:i w:val="0"/>
          <w:sz w:val="20"/>
        </w:rPr>
        <w:t>Table 2.</w:t>
      </w:r>
      <w:r>
        <w:rPr>
          <w:b w:val="0"/>
          <w:i w:val="0"/>
          <w:sz w:val="20"/>
        </w:rPr>
        <w:t xml:space="preserve"> Provisional summary of thermal and mechanical properties of the representative biopolymers discussed in §3 (order-of-magnitude ranges, cross-checked against the comparative review of biobased thermoplastics by de Beukelaer et al. [11], for PBS against Aliotta et al. [12], and for PLA against Auras et al. [42] and Farah et al. [43]; Td is the TGA onset of significant mass loss under N₂; "–" = no melting transition; per-row sources in </w:t>
      </w:r>
      <w:r>
        <w:rPr>
          <w:rFonts w:ascii="Consolas" w:hAnsi="Consolas"/>
          <w:i/>
          <w:sz w:val="20"/>
        </w:rPr>
        <w:t>figures/data/*.csv</w:t>
      </w:r>
      <w:r>
        <w:rPr>
          <w:b w:val="0"/>
          <w:i w:val="0"/>
          <w:sz w:val="20"/>
        </w:rPr>
        <w:t>).</w:t>
      </w:r>
    </w:p>
    <w:tbl>
      <w:tblPr>
        <w:tblW w:type="auto" w:w="0"/>
        <w:jc w:val="center"/>
        <w:tblLayout w:type="fixed"/>
        <w:tblLook w:firstColumn="1" w:firstRow="1" w:lastColumn="0" w:lastRow="0" w:noHBand="0" w:noVBand="1" w:val="04A0"/>
        <w:tblLayout w:type="fixed"/>
      </w:tblPr>
      <w:tblGrid>
        <w:gridCol w:w="2211"/>
        <w:gridCol w:w="1017"/>
        <w:gridCol w:w="1017"/>
        <w:gridCol w:w="1151"/>
        <w:gridCol w:w="1738"/>
        <w:gridCol w:w="1792"/>
      </w:tblGrid>
      <w:tr>
        <w:tc>
          <w:tcPr>
            <w:tcW w:type="dxa" w:w="2212"/>
            <w:tcBorders>
              <w:top w:val="single" w:sz="8" w:space="0" w:color="000000"/>
              <w:bottom w:val="single" w:sz="8" w:space="0" w:color="000000"/>
            </w:tcBorders>
          </w:tcPr>
          <w:p>
            <w:pPr>
              <w:spacing w:after="10" w:before="10" w:line="240" w:lineRule="auto"/>
            </w:pPr>
            <w:r>
              <w:rPr>
                <w:rFonts w:ascii="Arial" w:hAnsi="Arial"/>
                <w:b/>
                <w:i w:val="0"/>
                <w:sz w:val="16"/>
              </w:rPr>
              <w:t>Material</w:t>
            </w:r>
          </w:p>
        </w:tc>
        <w:tc>
          <w:tcPr>
            <w:tcW w:type="dxa" w:w="1017"/>
            <w:tcBorders>
              <w:top w:val="single" w:sz="8" w:space="0" w:color="000000"/>
              <w:bottom w:val="single" w:sz="8" w:space="0" w:color="000000"/>
            </w:tcBorders>
          </w:tcPr>
          <w:p>
            <w:pPr>
              <w:spacing w:after="10" w:before="10" w:line="240" w:lineRule="auto"/>
            </w:pPr>
            <w:r>
              <w:rPr>
                <w:rFonts w:ascii="Arial" w:hAnsi="Arial"/>
                <w:b/>
                <w:i w:val="0"/>
                <w:sz w:val="16"/>
              </w:rPr>
              <w:t>Tg (°C)</w:t>
            </w:r>
          </w:p>
        </w:tc>
        <w:tc>
          <w:tcPr>
            <w:tcW w:type="dxa" w:w="1017"/>
            <w:tcBorders>
              <w:top w:val="single" w:sz="8" w:space="0" w:color="000000"/>
              <w:bottom w:val="single" w:sz="8" w:space="0" w:color="000000"/>
            </w:tcBorders>
          </w:tcPr>
          <w:p>
            <w:pPr>
              <w:spacing w:after="10" w:before="10" w:line="240" w:lineRule="auto"/>
            </w:pPr>
            <w:r>
              <w:rPr>
                <w:rFonts w:ascii="Arial" w:hAnsi="Arial"/>
                <w:b/>
                <w:i w:val="0"/>
                <w:sz w:val="16"/>
              </w:rPr>
              <w:t>Tm (°C)</w:t>
            </w:r>
          </w:p>
        </w:tc>
        <w:tc>
          <w:tcPr>
            <w:tcW w:type="dxa" w:w="1151"/>
            <w:tcBorders>
              <w:top w:val="single" w:sz="8" w:space="0" w:color="000000"/>
              <w:bottom w:val="single" w:sz="8" w:space="0" w:color="000000"/>
            </w:tcBorders>
          </w:tcPr>
          <w:p>
            <w:pPr>
              <w:spacing w:after="10" w:before="10" w:line="240" w:lineRule="auto"/>
            </w:pPr>
            <w:r>
              <w:rPr>
                <w:rFonts w:ascii="Arial" w:hAnsi="Arial"/>
                <w:b/>
                <w:i w:val="0"/>
                <w:sz w:val="16"/>
              </w:rPr>
              <w:t>Td onset (°C)</w:t>
            </w:r>
          </w:p>
        </w:tc>
        <w:tc>
          <w:tcPr>
            <w:tcW w:type="dxa" w:w="1739"/>
            <w:tcBorders>
              <w:top w:val="single" w:sz="8" w:space="0" w:color="000000"/>
              <w:bottom w:val="single" w:sz="8" w:space="0" w:color="000000"/>
            </w:tcBorders>
          </w:tcPr>
          <w:p>
            <w:pPr>
              <w:spacing w:after="10" w:before="10" w:line="240" w:lineRule="auto"/>
            </w:pPr>
            <w:r>
              <w:rPr>
                <w:rFonts w:ascii="Arial" w:hAnsi="Arial"/>
                <w:b/>
                <w:i w:val="0"/>
                <w:sz w:val="16"/>
              </w:rPr>
              <w:t>Modulus (GPa)</w:t>
            </w:r>
          </w:p>
        </w:tc>
        <w:tc>
          <w:tcPr>
            <w:tcW w:type="dxa" w:w="1792"/>
            <w:tcBorders>
              <w:top w:val="single" w:sz="8" w:space="0" w:color="000000"/>
              <w:bottom w:val="single" w:sz="8" w:space="0" w:color="000000"/>
            </w:tcBorders>
          </w:tcPr>
          <w:p>
            <w:pPr>
              <w:spacing w:after="10" w:before="10" w:line="240" w:lineRule="auto"/>
            </w:pPr>
            <w:r>
              <w:rPr>
                <w:rFonts w:ascii="Arial" w:hAnsi="Arial"/>
                <w:b/>
                <w:i w:val="0"/>
                <w:sz w:val="16"/>
              </w:rPr>
              <w:t>Elongation at break (%)</w:t>
            </w:r>
          </w:p>
        </w:tc>
      </w:tr>
      <w:tr>
        <w:tc>
          <w:tcPr>
            <w:tcW w:type="dxa" w:w="2212"/>
            <w:tcBorders>
              <w:top w:val="nil"/>
              <w:bottom w:val="nil"/>
            </w:tcBorders>
          </w:tcPr>
          <w:p>
            <w:pPr>
              <w:spacing w:after="10" w:before="10" w:line="240" w:lineRule="auto"/>
            </w:pPr>
            <w:r>
              <w:rPr>
                <w:rFonts w:ascii="Arial" w:hAnsi="Arial"/>
                <w:b w:val="0"/>
                <w:i w:val="0"/>
                <w:sz w:val="16"/>
              </w:rPr>
              <w:t>Cellulose (regenerated fibre)</w:t>
            </w:r>
          </w:p>
        </w:tc>
        <w:tc>
          <w:tcPr>
            <w:tcW w:type="dxa" w:w="1017"/>
            <w:tcBorders>
              <w:top w:val="nil"/>
              <w:bottom w:val="nil"/>
            </w:tcBorders>
          </w:tcPr>
          <w:p>
            <w:pPr>
              <w:spacing w:after="10" w:before="10" w:line="240" w:lineRule="auto"/>
            </w:pPr>
            <w:r>
              <w:rPr>
                <w:rFonts w:ascii="Arial" w:hAnsi="Arial"/>
                <w:b w:val="0"/>
                <w:i w:val="0"/>
                <w:sz w:val="16"/>
              </w:rPr>
              <w:t>–</w:t>
            </w:r>
          </w:p>
        </w:tc>
        <w:tc>
          <w:tcPr>
            <w:tcW w:type="dxa" w:w="1017"/>
            <w:tcBorders>
              <w:top w:val="nil"/>
              <w:bottom w:val="nil"/>
            </w:tcBorders>
          </w:tcPr>
          <w:p>
            <w:pPr>
              <w:spacing w:after="10" w:before="10" w:line="240" w:lineRule="auto"/>
            </w:pPr>
            <w:r>
              <w:rPr>
                <w:rFonts w:ascii="Arial" w:hAnsi="Arial"/>
                <w:b w:val="0"/>
                <w:i w:val="0"/>
                <w:sz w:val="16"/>
              </w:rPr>
              <w:t>–</w:t>
            </w:r>
          </w:p>
        </w:tc>
        <w:tc>
          <w:tcPr>
            <w:tcW w:type="dxa" w:w="1151"/>
            <w:tcBorders>
              <w:top w:val="nil"/>
              <w:bottom w:val="nil"/>
            </w:tcBorders>
          </w:tcPr>
          <w:p>
            <w:pPr>
              <w:spacing w:after="10" w:before="10" w:line="240" w:lineRule="auto"/>
            </w:pPr>
            <w:r>
              <w:rPr>
                <w:rFonts w:ascii="Arial" w:hAnsi="Arial"/>
                <w:b w:val="0"/>
                <w:i w:val="0"/>
                <w:sz w:val="16"/>
              </w:rPr>
              <w:t>~300</w:t>
            </w:r>
          </w:p>
        </w:tc>
        <w:tc>
          <w:tcPr>
            <w:tcW w:type="dxa" w:w="1739"/>
            <w:tcBorders>
              <w:top w:val="nil"/>
              <w:bottom w:val="nil"/>
            </w:tcBorders>
          </w:tcPr>
          <w:p>
            <w:pPr>
              <w:spacing w:after="10" w:before="10" w:line="240" w:lineRule="auto"/>
            </w:pPr>
            <w:r>
              <w:rPr>
                <w:rFonts w:ascii="Arial" w:hAnsi="Arial"/>
                <w:b w:val="0"/>
                <w:i w:val="0"/>
                <w:sz w:val="16"/>
              </w:rPr>
              <w:t>10–30</w:t>
            </w:r>
          </w:p>
        </w:tc>
        <w:tc>
          <w:tcPr>
            <w:tcW w:type="dxa" w:w="1792"/>
            <w:tcBorders>
              <w:top w:val="nil"/>
              <w:bottom w:val="nil"/>
            </w:tcBorders>
          </w:tcPr>
          <w:p>
            <w:pPr>
              <w:spacing w:after="10" w:before="10" w:line="240" w:lineRule="auto"/>
            </w:pPr>
            <w:r>
              <w:rPr>
                <w:rFonts w:ascii="Arial" w:hAnsi="Arial"/>
                <w:b w:val="0"/>
                <w:i w:val="0"/>
                <w:sz w:val="16"/>
              </w:rPr>
              <w:t>8–15</w:t>
            </w:r>
          </w:p>
        </w:tc>
      </w:tr>
      <w:tr>
        <w:tc>
          <w:tcPr>
            <w:tcW w:type="dxa" w:w="2212"/>
            <w:tcBorders>
              <w:top w:val="nil"/>
              <w:bottom w:val="nil"/>
            </w:tcBorders>
          </w:tcPr>
          <w:p>
            <w:pPr>
              <w:spacing w:after="10" w:before="10" w:line="240" w:lineRule="auto"/>
            </w:pPr>
            <w:r>
              <w:rPr>
                <w:rFonts w:ascii="Arial" w:hAnsi="Arial"/>
                <w:b w:val="0"/>
                <w:i w:val="0"/>
                <w:sz w:val="16"/>
              </w:rPr>
              <w:t>Thermoplastic starch</w:t>
            </w:r>
          </w:p>
        </w:tc>
        <w:tc>
          <w:tcPr>
            <w:tcW w:type="dxa" w:w="1017"/>
            <w:tcBorders>
              <w:top w:val="nil"/>
              <w:bottom w:val="nil"/>
            </w:tcBorders>
          </w:tcPr>
          <w:p>
            <w:pPr>
              <w:spacing w:after="10" w:before="10" w:line="240" w:lineRule="auto"/>
            </w:pPr>
            <w:r>
              <w:rPr>
                <w:rFonts w:ascii="Arial" w:hAnsi="Arial"/>
                <w:b w:val="0"/>
                <w:i w:val="0"/>
                <w:sz w:val="16"/>
              </w:rPr>
              <w:t>~−20</w:t>
            </w:r>
          </w:p>
        </w:tc>
        <w:tc>
          <w:tcPr>
            <w:tcW w:type="dxa" w:w="1017"/>
            <w:tcBorders>
              <w:top w:val="nil"/>
              <w:bottom w:val="nil"/>
            </w:tcBorders>
          </w:tcPr>
          <w:p>
            <w:pPr>
              <w:spacing w:after="10" w:before="10" w:line="240" w:lineRule="auto"/>
            </w:pPr>
            <w:r>
              <w:rPr>
                <w:rFonts w:ascii="Arial" w:hAnsi="Arial"/>
                <w:b w:val="0"/>
                <w:i w:val="0"/>
                <w:sz w:val="16"/>
              </w:rPr>
              <w:t>–</w:t>
            </w:r>
          </w:p>
        </w:tc>
        <w:tc>
          <w:tcPr>
            <w:tcW w:type="dxa" w:w="1151"/>
            <w:tcBorders>
              <w:top w:val="nil"/>
              <w:bottom w:val="nil"/>
            </w:tcBorders>
          </w:tcPr>
          <w:p>
            <w:pPr>
              <w:spacing w:after="10" w:before="10" w:line="240" w:lineRule="auto"/>
            </w:pPr>
            <w:r>
              <w:rPr>
                <w:rFonts w:ascii="Arial" w:hAnsi="Arial"/>
                <w:b w:val="0"/>
                <w:i w:val="0"/>
                <w:sz w:val="16"/>
              </w:rPr>
              <w:t>~300</w:t>
            </w:r>
          </w:p>
        </w:tc>
        <w:tc>
          <w:tcPr>
            <w:tcW w:type="dxa" w:w="1739"/>
            <w:tcBorders>
              <w:top w:val="nil"/>
              <w:bottom w:val="nil"/>
            </w:tcBorders>
          </w:tcPr>
          <w:p>
            <w:pPr>
              <w:spacing w:after="10" w:before="10" w:line="240" w:lineRule="auto"/>
            </w:pPr>
            <w:r>
              <w:rPr>
                <w:rFonts w:ascii="Arial" w:hAnsi="Arial"/>
                <w:b w:val="0"/>
                <w:i w:val="0"/>
                <w:sz w:val="16"/>
              </w:rPr>
              <w:t>0.02–1.0</w:t>
            </w:r>
          </w:p>
        </w:tc>
        <w:tc>
          <w:tcPr>
            <w:tcW w:type="dxa" w:w="1792"/>
            <w:tcBorders>
              <w:top w:val="nil"/>
              <w:bottom w:val="nil"/>
            </w:tcBorders>
          </w:tcPr>
          <w:p>
            <w:pPr>
              <w:spacing w:after="10" w:before="10" w:line="240" w:lineRule="auto"/>
            </w:pPr>
            <w:r>
              <w:rPr>
                <w:rFonts w:ascii="Arial" w:hAnsi="Arial"/>
                <w:b w:val="0"/>
                <w:i w:val="0"/>
                <w:sz w:val="16"/>
              </w:rPr>
              <w:t>20–100</w:t>
            </w:r>
          </w:p>
        </w:tc>
      </w:tr>
      <w:tr>
        <w:tc>
          <w:tcPr>
            <w:tcW w:type="dxa" w:w="2212"/>
            <w:tcBorders>
              <w:top w:val="nil"/>
              <w:bottom w:val="nil"/>
            </w:tcBorders>
          </w:tcPr>
          <w:p>
            <w:pPr>
              <w:spacing w:after="10" w:before="10" w:line="240" w:lineRule="auto"/>
            </w:pPr>
            <w:r>
              <w:rPr>
                <w:rFonts w:ascii="Arial" w:hAnsi="Arial"/>
                <w:b w:val="0"/>
                <w:i w:val="0"/>
                <w:sz w:val="16"/>
              </w:rPr>
              <w:t>Chitosan (film)</w:t>
            </w:r>
          </w:p>
        </w:tc>
        <w:tc>
          <w:tcPr>
            <w:tcW w:type="dxa" w:w="1017"/>
            <w:tcBorders>
              <w:top w:val="nil"/>
              <w:bottom w:val="nil"/>
            </w:tcBorders>
          </w:tcPr>
          <w:p>
            <w:pPr>
              <w:spacing w:after="10" w:before="10" w:line="240" w:lineRule="auto"/>
            </w:pPr>
            <w:r>
              <w:rPr>
                <w:rFonts w:ascii="Arial" w:hAnsi="Arial"/>
                <w:b w:val="0"/>
                <w:i w:val="0"/>
                <w:sz w:val="16"/>
              </w:rPr>
              <w:t>–</w:t>
            </w:r>
          </w:p>
        </w:tc>
        <w:tc>
          <w:tcPr>
            <w:tcW w:type="dxa" w:w="1017"/>
            <w:tcBorders>
              <w:top w:val="nil"/>
              <w:bottom w:val="nil"/>
            </w:tcBorders>
          </w:tcPr>
          <w:p>
            <w:pPr>
              <w:spacing w:after="10" w:before="10" w:line="240" w:lineRule="auto"/>
            </w:pPr>
            <w:r>
              <w:rPr>
                <w:rFonts w:ascii="Arial" w:hAnsi="Arial"/>
                <w:b w:val="0"/>
                <w:i w:val="0"/>
                <w:sz w:val="16"/>
              </w:rPr>
              <w:t>–</w:t>
            </w:r>
          </w:p>
        </w:tc>
        <w:tc>
          <w:tcPr>
            <w:tcW w:type="dxa" w:w="1151"/>
            <w:tcBorders>
              <w:top w:val="nil"/>
              <w:bottom w:val="nil"/>
            </w:tcBorders>
          </w:tcPr>
          <w:p>
            <w:pPr>
              <w:spacing w:after="10" w:before="10" w:line="240" w:lineRule="auto"/>
            </w:pPr>
            <w:r>
              <w:rPr>
                <w:rFonts w:ascii="Arial" w:hAnsi="Arial"/>
                <w:b w:val="0"/>
                <w:i w:val="0"/>
                <w:sz w:val="16"/>
              </w:rPr>
              <w:t>~280</w:t>
            </w:r>
          </w:p>
        </w:tc>
        <w:tc>
          <w:tcPr>
            <w:tcW w:type="dxa" w:w="1739"/>
            <w:tcBorders>
              <w:top w:val="nil"/>
              <w:bottom w:val="nil"/>
            </w:tcBorders>
          </w:tcPr>
          <w:p>
            <w:pPr>
              <w:spacing w:after="10" w:before="10" w:line="240" w:lineRule="auto"/>
            </w:pPr>
            <w:r>
              <w:rPr>
                <w:rFonts w:ascii="Arial" w:hAnsi="Arial"/>
                <w:b w:val="0"/>
                <w:i w:val="0"/>
                <w:sz w:val="16"/>
              </w:rPr>
              <w:t>1.0–4.0</w:t>
            </w:r>
          </w:p>
        </w:tc>
        <w:tc>
          <w:tcPr>
            <w:tcW w:type="dxa" w:w="1792"/>
            <w:tcBorders>
              <w:top w:val="nil"/>
              <w:bottom w:val="nil"/>
            </w:tcBorders>
          </w:tcPr>
          <w:p>
            <w:pPr>
              <w:spacing w:after="10" w:before="10" w:line="240" w:lineRule="auto"/>
            </w:pPr>
            <w:r>
              <w:rPr>
                <w:rFonts w:ascii="Arial" w:hAnsi="Arial"/>
                <w:b w:val="0"/>
                <w:i w:val="0"/>
                <w:sz w:val="16"/>
              </w:rPr>
              <w:t>3–30</w:t>
            </w:r>
          </w:p>
        </w:tc>
      </w:tr>
      <w:tr>
        <w:tc>
          <w:tcPr>
            <w:tcW w:type="dxa" w:w="2212"/>
            <w:tcBorders>
              <w:top w:val="nil"/>
              <w:bottom w:val="nil"/>
            </w:tcBorders>
          </w:tcPr>
          <w:p>
            <w:pPr>
              <w:spacing w:after="10" w:before="10" w:line="240" w:lineRule="auto"/>
            </w:pPr>
            <w:r>
              <w:rPr>
                <w:rFonts w:ascii="Arial" w:hAnsi="Arial"/>
                <w:b w:val="0"/>
                <w:i w:val="0"/>
                <w:sz w:val="16"/>
              </w:rPr>
              <w:t>Silk fibroin (fibre)</w:t>
            </w:r>
          </w:p>
        </w:tc>
        <w:tc>
          <w:tcPr>
            <w:tcW w:type="dxa" w:w="1017"/>
            <w:tcBorders>
              <w:top w:val="nil"/>
              <w:bottom w:val="nil"/>
            </w:tcBorders>
          </w:tcPr>
          <w:p>
            <w:pPr>
              <w:spacing w:after="10" w:before="10" w:line="240" w:lineRule="auto"/>
            </w:pPr>
            <w:r>
              <w:rPr>
                <w:rFonts w:ascii="Arial" w:hAnsi="Arial"/>
                <w:b w:val="0"/>
                <w:i w:val="0"/>
                <w:sz w:val="16"/>
              </w:rPr>
              <w:t>~175</w:t>
            </w:r>
          </w:p>
        </w:tc>
        <w:tc>
          <w:tcPr>
            <w:tcW w:type="dxa" w:w="1017"/>
            <w:tcBorders>
              <w:top w:val="nil"/>
              <w:bottom w:val="nil"/>
            </w:tcBorders>
          </w:tcPr>
          <w:p>
            <w:pPr>
              <w:spacing w:after="10" w:before="10" w:line="240" w:lineRule="auto"/>
            </w:pPr>
            <w:r>
              <w:rPr>
                <w:rFonts w:ascii="Arial" w:hAnsi="Arial"/>
                <w:b w:val="0"/>
                <w:i w:val="0"/>
                <w:sz w:val="16"/>
              </w:rPr>
              <w:t>–</w:t>
            </w:r>
          </w:p>
        </w:tc>
        <w:tc>
          <w:tcPr>
            <w:tcW w:type="dxa" w:w="1151"/>
            <w:tcBorders>
              <w:top w:val="nil"/>
              <w:bottom w:val="nil"/>
            </w:tcBorders>
          </w:tcPr>
          <w:p>
            <w:pPr>
              <w:spacing w:after="10" w:before="10" w:line="240" w:lineRule="auto"/>
            </w:pPr>
            <w:r>
              <w:rPr>
                <w:rFonts w:ascii="Arial" w:hAnsi="Arial"/>
                <w:b w:val="0"/>
                <w:i w:val="0"/>
                <w:sz w:val="16"/>
              </w:rPr>
              <w:t>~300</w:t>
            </w:r>
          </w:p>
        </w:tc>
        <w:tc>
          <w:tcPr>
            <w:tcW w:type="dxa" w:w="1739"/>
            <w:tcBorders>
              <w:top w:val="nil"/>
              <w:bottom w:val="nil"/>
            </w:tcBorders>
          </w:tcPr>
          <w:p>
            <w:pPr>
              <w:spacing w:after="10" w:before="10" w:line="240" w:lineRule="auto"/>
            </w:pPr>
            <w:r>
              <w:rPr>
                <w:rFonts w:ascii="Arial" w:hAnsi="Arial"/>
                <w:b w:val="0"/>
                <w:i w:val="0"/>
                <w:sz w:val="16"/>
              </w:rPr>
              <w:t>5–17</w:t>
            </w:r>
          </w:p>
        </w:tc>
        <w:tc>
          <w:tcPr>
            <w:tcW w:type="dxa" w:w="1792"/>
            <w:tcBorders>
              <w:top w:val="nil"/>
              <w:bottom w:val="nil"/>
            </w:tcBorders>
          </w:tcPr>
          <w:p>
            <w:pPr>
              <w:spacing w:after="10" w:before="10" w:line="240" w:lineRule="auto"/>
            </w:pPr>
            <w:r>
              <w:rPr>
                <w:rFonts w:ascii="Arial" w:hAnsi="Arial"/>
                <w:b w:val="0"/>
                <w:i w:val="0"/>
                <w:sz w:val="16"/>
              </w:rPr>
              <w:t>15–30</w:t>
            </w:r>
          </w:p>
        </w:tc>
      </w:tr>
      <w:tr>
        <w:tc>
          <w:tcPr>
            <w:tcW w:type="dxa" w:w="2212"/>
            <w:tcBorders>
              <w:top w:val="nil"/>
              <w:bottom w:val="nil"/>
            </w:tcBorders>
          </w:tcPr>
          <w:p>
            <w:pPr>
              <w:spacing w:after="10" w:before="10" w:line="240" w:lineRule="auto"/>
            </w:pPr>
            <w:r>
              <w:rPr>
                <w:rFonts w:ascii="Arial" w:hAnsi="Arial"/>
                <w:b w:val="0"/>
                <w:i w:val="0"/>
                <w:sz w:val="16"/>
              </w:rPr>
              <w:t>PHB (PHBV lowers Tm ~30 °C)</w:t>
            </w:r>
          </w:p>
        </w:tc>
        <w:tc>
          <w:tcPr>
            <w:tcW w:type="dxa" w:w="1017"/>
            <w:tcBorders>
              <w:top w:val="nil"/>
              <w:bottom w:val="nil"/>
            </w:tcBorders>
          </w:tcPr>
          <w:p>
            <w:pPr>
              <w:spacing w:after="10" w:before="10" w:line="240" w:lineRule="auto"/>
            </w:pPr>
            <w:r>
              <w:rPr>
                <w:rFonts w:ascii="Arial" w:hAnsi="Arial"/>
                <w:b w:val="0"/>
                <w:i w:val="0"/>
                <w:sz w:val="16"/>
              </w:rPr>
              <w:t>~4</w:t>
            </w:r>
          </w:p>
        </w:tc>
        <w:tc>
          <w:tcPr>
            <w:tcW w:type="dxa" w:w="1017"/>
            <w:tcBorders>
              <w:top w:val="nil"/>
              <w:bottom w:val="nil"/>
            </w:tcBorders>
          </w:tcPr>
          <w:p>
            <w:pPr>
              <w:spacing w:after="10" w:before="10" w:line="240" w:lineRule="auto"/>
            </w:pPr>
            <w:r>
              <w:rPr>
                <w:rFonts w:ascii="Arial" w:hAnsi="Arial"/>
                <w:b w:val="0"/>
                <w:i w:val="0"/>
                <w:sz w:val="16"/>
              </w:rPr>
              <w:t>~175</w:t>
            </w:r>
          </w:p>
        </w:tc>
        <w:tc>
          <w:tcPr>
            <w:tcW w:type="dxa" w:w="1151"/>
            <w:tcBorders>
              <w:top w:val="nil"/>
              <w:bottom w:val="nil"/>
            </w:tcBorders>
          </w:tcPr>
          <w:p>
            <w:pPr>
              <w:spacing w:after="10" w:before="10" w:line="240" w:lineRule="auto"/>
            </w:pPr>
            <w:r>
              <w:rPr>
                <w:rFonts w:ascii="Arial" w:hAnsi="Arial"/>
                <w:b w:val="0"/>
                <w:i w:val="0"/>
                <w:sz w:val="16"/>
              </w:rPr>
              <w:t>~200</w:t>
            </w:r>
          </w:p>
        </w:tc>
        <w:tc>
          <w:tcPr>
            <w:tcW w:type="dxa" w:w="1739"/>
            <w:tcBorders>
              <w:top w:val="nil"/>
              <w:bottom w:val="nil"/>
            </w:tcBorders>
          </w:tcPr>
          <w:p>
            <w:pPr>
              <w:spacing w:after="10" w:before="10" w:line="240" w:lineRule="auto"/>
            </w:pPr>
            <w:r>
              <w:rPr>
                <w:rFonts w:ascii="Arial" w:hAnsi="Arial"/>
                <w:b w:val="0"/>
                <w:i w:val="0"/>
                <w:sz w:val="16"/>
              </w:rPr>
              <w:t>1.5–4.0</w:t>
            </w:r>
          </w:p>
        </w:tc>
        <w:tc>
          <w:tcPr>
            <w:tcW w:type="dxa" w:w="1792"/>
            <w:tcBorders>
              <w:top w:val="nil"/>
              <w:bottom w:val="nil"/>
            </w:tcBorders>
          </w:tcPr>
          <w:p>
            <w:pPr>
              <w:spacing w:after="10" w:before="10" w:line="240" w:lineRule="auto"/>
            </w:pPr>
            <w:r>
              <w:rPr>
                <w:rFonts w:ascii="Arial" w:hAnsi="Arial"/>
                <w:b w:val="0"/>
                <w:i w:val="0"/>
                <w:sz w:val="16"/>
              </w:rPr>
              <w:t>2–8</w:t>
            </w:r>
          </w:p>
        </w:tc>
      </w:tr>
      <w:tr>
        <w:tc>
          <w:tcPr>
            <w:tcW w:type="dxa" w:w="2212"/>
            <w:tcBorders>
              <w:top w:val="nil"/>
              <w:bottom w:val="nil"/>
            </w:tcBorders>
          </w:tcPr>
          <w:p>
            <w:pPr>
              <w:spacing w:after="10" w:before="10" w:line="240" w:lineRule="auto"/>
            </w:pPr>
            <w:r>
              <w:rPr>
                <w:rFonts w:ascii="Arial" w:hAnsi="Arial"/>
                <w:b w:val="0"/>
                <w:i w:val="0"/>
                <w:sz w:val="16"/>
              </w:rPr>
              <w:t>PLLA</w:t>
            </w:r>
          </w:p>
        </w:tc>
        <w:tc>
          <w:tcPr>
            <w:tcW w:type="dxa" w:w="1017"/>
            <w:tcBorders>
              <w:top w:val="nil"/>
              <w:bottom w:val="nil"/>
            </w:tcBorders>
          </w:tcPr>
          <w:p>
            <w:pPr>
              <w:spacing w:after="10" w:before="10" w:line="240" w:lineRule="auto"/>
            </w:pPr>
            <w:r>
              <w:rPr>
                <w:rFonts w:ascii="Arial" w:hAnsi="Arial"/>
                <w:b w:val="0"/>
                <w:i w:val="0"/>
                <w:sz w:val="16"/>
              </w:rPr>
              <w:t>~60</w:t>
            </w:r>
          </w:p>
        </w:tc>
        <w:tc>
          <w:tcPr>
            <w:tcW w:type="dxa" w:w="1017"/>
            <w:tcBorders>
              <w:top w:val="nil"/>
              <w:bottom w:val="nil"/>
            </w:tcBorders>
          </w:tcPr>
          <w:p>
            <w:pPr>
              <w:spacing w:after="10" w:before="10" w:line="240" w:lineRule="auto"/>
            </w:pPr>
            <w:r>
              <w:rPr>
                <w:rFonts w:ascii="Arial" w:hAnsi="Arial"/>
                <w:b w:val="0"/>
                <w:i w:val="0"/>
                <w:sz w:val="16"/>
              </w:rPr>
              <w:t>~175</w:t>
            </w:r>
          </w:p>
        </w:tc>
        <w:tc>
          <w:tcPr>
            <w:tcW w:type="dxa" w:w="1151"/>
            <w:tcBorders>
              <w:top w:val="nil"/>
              <w:bottom w:val="nil"/>
            </w:tcBorders>
          </w:tcPr>
          <w:p>
            <w:pPr>
              <w:spacing w:after="10" w:before="10" w:line="240" w:lineRule="auto"/>
            </w:pPr>
            <w:r>
              <w:rPr>
                <w:rFonts w:ascii="Arial" w:hAnsi="Arial"/>
                <w:b w:val="0"/>
                <w:i w:val="0"/>
                <w:sz w:val="16"/>
              </w:rPr>
              <w:t>~300</w:t>
            </w:r>
          </w:p>
        </w:tc>
        <w:tc>
          <w:tcPr>
            <w:tcW w:type="dxa" w:w="1739"/>
            <w:tcBorders>
              <w:top w:val="nil"/>
              <w:bottom w:val="nil"/>
            </w:tcBorders>
          </w:tcPr>
          <w:p>
            <w:pPr>
              <w:spacing w:after="10" w:before="10" w:line="240" w:lineRule="auto"/>
            </w:pPr>
            <w:r>
              <w:rPr>
                <w:rFonts w:ascii="Arial" w:hAnsi="Arial"/>
                <w:b w:val="0"/>
                <w:i w:val="0"/>
                <w:sz w:val="16"/>
              </w:rPr>
              <w:t>2.5–4.0</w:t>
            </w:r>
          </w:p>
        </w:tc>
        <w:tc>
          <w:tcPr>
            <w:tcW w:type="dxa" w:w="1792"/>
            <w:tcBorders>
              <w:top w:val="nil"/>
              <w:bottom w:val="nil"/>
            </w:tcBorders>
          </w:tcPr>
          <w:p>
            <w:pPr>
              <w:spacing w:after="10" w:before="10" w:line="240" w:lineRule="auto"/>
            </w:pPr>
            <w:r>
              <w:rPr>
                <w:rFonts w:ascii="Arial" w:hAnsi="Arial"/>
                <w:b w:val="0"/>
                <w:i w:val="0"/>
                <w:sz w:val="16"/>
              </w:rPr>
              <w:t>3–10</w:t>
            </w:r>
          </w:p>
        </w:tc>
      </w:tr>
      <w:tr>
        <w:tc>
          <w:tcPr>
            <w:tcW w:type="dxa" w:w="2212"/>
            <w:tcBorders>
              <w:top w:val="nil"/>
              <w:bottom w:val="nil"/>
            </w:tcBorders>
          </w:tcPr>
          <w:p>
            <w:pPr>
              <w:spacing w:after="10" w:before="10" w:line="240" w:lineRule="auto"/>
            </w:pPr>
            <w:r>
              <w:rPr>
                <w:rFonts w:ascii="Arial" w:hAnsi="Arial"/>
                <w:b w:val="0"/>
                <w:i w:val="0"/>
                <w:sz w:val="16"/>
              </w:rPr>
              <w:t>PBS</w:t>
            </w:r>
          </w:p>
        </w:tc>
        <w:tc>
          <w:tcPr>
            <w:tcW w:type="dxa" w:w="1017"/>
            <w:tcBorders>
              <w:top w:val="nil"/>
              <w:bottom w:val="nil"/>
            </w:tcBorders>
          </w:tcPr>
          <w:p>
            <w:pPr>
              <w:spacing w:after="10" w:before="10" w:line="240" w:lineRule="auto"/>
            </w:pPr>
            <w:r>
              <w:rPr>
                <w:rFonts w:ascii="Arial" w:hAnsi="Arial"/>
                <w:b w:val="0"/>
                <w:i w:val="0"/>
                <w:sz w:val="16"/>
              </w:rPr>
              <w:t>~−32</w:t>
            </w:r>
          </w:p>
        </w:tc>
        <w:tc>
          <w:tcPr>
            <w:tcW w:type="dxa" w:w="1017"/>
            <w:tcBorders>
              <w:top w:val="nil"/>
              <w:bottom w:val="nil"/>
            </w:tcBorders>
          </w:tcPr>
          <w:p>
            <w:pPr>
              <w:spacing w:after="10" w:before="10" w:line="240" w:lineRule="auto"/>
            </w:pPr>
            <w:r>
              <w:rPr>
                <w:rFonts w:ascii="Arial" w:hAnsi="Arial"/>
                <w:b w:val="0"/>
                <w:i w:val="0"/>
                <w:sz w:val="16"/>
              </w:rPr>
              <w:t>~114</w:t>
            </w:r>
          </w:p>
        </w:tc>
        <w:tc>
          <w:tcPr>
            <w:tcW w:type="dxa" w:w="1151"/>
            <w:tcBorders>
              <w:top w:val="nil"/>
              <w:bottom w:val="nil"/>
            </w:tcBorders>
          </w:tcPr>
          <w:p>
            <w:pPr>
              <w:spacing w:after="10" w:before="10" w:line="240" w:lineRule="auto"/>
            </w:pPr>
            <w:r>
              <w:rPr>
                <w:rFonts w:ascii="Arial" w:hAnsi="Arial"/>
                <w:b w:val="0"/>
                <w:i w:val="0"/>
                <w:sz w:val="16"/>
              </w:rPr>
              <w:t>~350</w:t>
            </w:r>
          </w:p>
        </w:tc>
        <w:tc>
          <w:tcPr>
            <w:tcW w:type="dxa" w:w="1739"/>
            <w:tcBorders>
              <w:top w:val="nil"/>
              <w:bottom w:val="nil"/>
            </w:tcBorders>
          </w:tcPr>
          <w:p>
            <w:pPr>
              <w:spacing w:after="10" w:before="10" w:line="240" w:lineRule="auto"/>
            </w:pPr>
            <w:r>
              <w:rPr>
                <w:rFonts w:ascii="Arial" w:hAnsi="Arial"/>
                <w:b w:val="0"/>
                <w:i w:val="0"/>
                <w:sz w:val="16"/>
              </w:rPr>
              <w:t>0.3–0.7</w:t>
            </w:r>
          </w:p>
        </w:tc>
        <w:tc>
          <w:tcPr>
            <w:tcW w:type="dxa" w:w="1792"/>
            <w:tcBorders>
              <w:top w:val="nil"/>
              <w:bottom w:val="nil"/>
            </w:tcBorders>
          </w:tcPr>
          <w:p>
            <w:pPr>
              <w:spacing w:after="10" w:before="10" w:line="240" w:lineRule="auto"/>
            </w:pPr>
            <w:r>
              <w:rPr>
                <w:rFonts w:ascii="Arial" w:hAnsi="Arial"/>
                <w:b w:val="0"/>
                <w:i w:val="0"/>
                <w:sz w:val="16"/>
              </w:rPr>
              <w:t>200–500</w:t>
            </w:r>
          </w:p>
        </w:tc>
      </w:tr>
      <w:tr>
        <w:tc>
          <w:tcPr>
            <w:tcW w:type="dxa" w:w="2212"/>
            <w:tcBorders>
              <w:top w:val="nil"/>
              <w:bottom w:val="nil"/>
            </w:tcBorders>
          </w:tcPr>
          <w:p>
            <w:pPr>
              <w:spacing w:after="10" w:before="10" w:line="240" w:lineRule="auto"/>
            </w:pPr>
            <w:r>
              <w:rPr>
                <w:rFonts w:ascii="Arial" w:hAnsi="Arial"/>
                <w:b w:val="0"/>
                <w:i w:val="0"/>
                <w:sz w:val="16"/>
              </w:rPr>
              <w:t>Natural rubber (vulcanised)</w:t>
            </w:r>
          </w:p>
        </w:tc>
        <w:tc>
          <w:tcPr>
            <w:tcW w:type="dxa" w:w="1017"/>
            <w:tcBorders>
              <w:top w:val="nil"/>
              <w:bottom w:val="nil"/>
            </w:tcBorders>
          </w:tcPr>
          <w:p>
            <w:pPr>
              <w:spacing w:after="10" w:before="10" w:line="240" w:lineRule="auto"/>
            </w:pPr>
            <w:r>
              <w:rPr>
                <w:rFonts w:ascii="Arial" w:hAnsi="Arial"/>
                <w:b w:val="0"/>
                <w:i w:val="0"/>
                <w:sz w:val="16"/>
              </w:rPr>
              <w:t>~−70</w:t>
            </w:r>
          </w:p>
        </w:tc>
        <w:tc>
          <w:tcPr>
            <w:tcW w:type="dxa" w:w="1017"/>
            <w:tcBorders>
              <w:top w:val="nil"/>
              <w:bottom w:val="nil"/>
            </w:tcBorders>
          </w:tcPr>
          <w:p>
            <w:pPr>
              <w:spacing w:after="10" w:before="10" w:line="240" w:lineRule="auto"/>
            </w:pPr>
            <w:r>
              <w:rPr>
                <w:rFonts w:ascii="Arial" w:hAnsi="Arial"/>
                <w:b w:val="0"/>
                <w:i w:val="0"/>
                <w:sz w:val="16"/>
              </w:rPr>
              <w:t>–</w:t>
            </w:r>
          </w:p>
        </w:tc>
        <w:tc>
          <w:tcPr>
            <w:tcW w:type="dxa" w:w="1151"/>
            <w:tcBorders>
              <w:top w:val="nil"/>
              <w:bottom w:val="nil"/>
            </w:tcBorders>
          </w:tcPr>
          <w:p>
            <w:pPr>
              <w:spacing w:after="10" w:before="10" w:line="240" w:lineRule="auto"/>
            </w:pPr>
            <w:r>
              <w:rPr>
                <w:rFonts w:ascii="Arial" w:hAnsi="Arial"/>
                <w:b w:val="0"/>
                <w:i w:val="0"/>
                <w:sz w:val="16"/>
              </w:rPr>
              <w:t>–</w:t>
            </w:r>
          </w:p>
        </w:tc>
        <w:tc>
          <w:tcPr>
            <w:tcW w:type="dxa" w:w="1739"/>
            <w:tcBorders>
              <w:top w:val="nil"/>
              <w:bottom w:val="nil"/>
            </w:tcBorders>
          </w:tcPr>
          <w:p>
            <w:pPr>
              <w:spacing w:after="10" w:before="10" w:line="240" w:lineRule="auto"/>
            </w:pPr>
            <w:r>
              <w:rPr>
                <w:rFonts w:ascii="Arial" w:hAnsi="Arial"/>
                <w:b w:val="0"/>
                <w:i w:val="0"/>
                <w:sz w:val="16"/>
              </w:rPr>
              <w:t>0.001–0.005</w:t>
            </w:r>
          </w:p>
        </w:tc>
        <w:tc>
          <w:tcPr>
            <w:tcW w:type="dxa" w:w="1792"/>
            <w:tcBorders>
              <w:top w:val="nil"/>
              <w:bottom w:val="nil"/>
            </w:tcBorders>
          </w:tcPr>
          <w:p>
            <w:pPr>
              <w:spacing w:after="10" w:before="10" w:line="240" w:lineRule="auto"/>
            </w:pPr>
            <w:r>
              <w:rPr>
                <w:rFonts w:ascii="Arial" w:hAnsi="Arial"/>
                <w:b w:val="0"/>
                <w:i w:val="0"/>
                <w:sz w:val="16"/>
              </w:rPr>
              <w:t>500–800</w:t>
            </w:r>
          </w:p>
        </w:tc>
      </w:tr>
      <w:tr>
        <w:tc>
          <w:tcPr>
            <w:tcW w:type="dxa" w:w="2212"/>
            <w:tcBorders>
              <w:top w:val="nil"/>
              <w:bottom w:val="single" w:sz="8" w:space="0" w:color="000000"/>
            </w:tcBorders>
          </w:tcPr>
          <w:p>
            <w:pPr>
              <w:spacing w:after="10" w:before="10" w:line="240" w:lineRule="auto"/>
            </w:pPr>
            <w:r>
              <w:rPr>
                <w:rFonts w:ascii="Arial" w:hAnsi="Arial"/>
                <w:b w:val="0"/>
                <w:i w:val="0"/>
                <w:sz w:val="16"/>
              </w:rPr>
              <w:t>PET (fossil reference)</w:t>
            </w:r>
          </w:p>
        </w:tc>
        <w:tc>
          <w:tcPr>
            <w:tcW w:type="dxa" w:w="1017"/>
            <w:tcBorders>
              <w:top w:val="nil"/>
              <w:bottom w:val="single" w:sz="8" w:space="0" w:color="000000"/>
            </w:tcBorders>
          </w:tcPr>
          <w:p>
            <w:pPr>
              <w:spacing w:after="10" w:before="10" w:line="240" w:lineRule="auto"/>
            </w:pPr>
            <w:r>
              <w:rPr>
                <w:rFonts w:ascii="Arial" w:hAnsi="Arial"/>
                <w:b w:val="0"/>
                <w:i w:val="0"/>
                <w:sz w:val="16"/>
              </w:rPr>
              <w:t>~78</w:t>
            </w:r>
          </w:p>
        </w:tc>
        <w:tc>
          <w:tcPr>
            <w:tcW w:type="dxa" w:w="1017"/>
            <w:tcBorders>
              <w:top w:val="nil"/>
              <w:bottom w:val="single" w:sz="8" w:space="0" w:color="000000"/>
            </w:tcBorders>
          </w:tcPr>
          <w:p>
            <w:pPr>
              <w:spacing w:after="10" w:before="10" w:line="240" w:lineRule="auto"/>
            </w:pPr>
            <w:r>
              <w:rPr>
                <w:rFonts w:ascii="Arial" w:hAnsi="Arial"/>
                <w:b w:val="0"/>
                <w:i w:val="0"/>
                <w:sz w:val="16"/>
              </w:rPr>
              <w:t>~255</w:t>
            </w:r>
          </w:p>
        </w:tc>
        <w:tc>
          <w:tcPr>
            <w:tcW w:type="dxa" w:w="1151"/>
            <w:tcBorders>
              <w:top w:val="nil"/>
              <w:bottom w:val="single" w:sz="8" w:space="0" w:color="000000"/>
            </w:tcBorders>
          </w:tcPr>
          <w:p>
            <w:pPr>
              <w:spacing w:after="10" w:before="10" w:line="240" w:lineRule="auto"/>
            </w:pPr>
            <w:r>
              <w:rPr>
                <w:rFonts w:ascii="Arial" w:hAnsi="Arial"/>
                <w:b w:val="0"/>
                <w:i w:val="0"/>
                <w:sz w:val="16"/>
              </w:rPr>
              <w:t>~400</w:t>
            </w:r>
          </w:p>
        </w:tc>
        <w:tc>
          <w:tcPr>
            <w:tcW w:type="dxa" w:w="1739"/>
            <w:tcBorders>
              <w:top w:val="nil"/>
              <w:bottom w:val="single" w:sz="8" w:space="0" w:color="000000"/>
            </w:tcBorders>
          </w:tcPr>
          <w:p>
            <w:pPr>
              <w:spacing w:after="10" w:before="10" w:line="240" w:lineRule="auto"/>
            </w:pPr>
            <w:r>
              <w:rPr>
                <w:rFonts w:ascii="Arial" w:hAnsi="Arial"/>
                <w:b w:val="0"/>
                <w:i w:val="0"/>
                <w:sz w:val="16"/>
              </w:rPr>
              <w:t>2.0–4.0</w:t>
            </w:r>
          </w:p>
        </w:tc>
        <w:tc>
          <w:tcPr>
            <w:tcW w:type="dxa" w:w="1792"/>
            <w:tcBorders>
              <w:top w:val="nil"/>
              <w:bottom w:val="single" w:sz="8" w:space="0" w:color="000000"/>
            </w:tcBorders>
          </w:tcPr>
          <w:p>
            <w:pPr>
              <w:spacing w:after="10" w:before="10" w:line="240" w:lineRule="auto"/>
            </w:pPr>
            <w:r>
              <w:rPr>
                <w:rFonts w:ascii="Arial" w:hAnsi="Arial"/>
                <w:b w:val="0"/>
                <w:i w:val="0"/>
                <w:sz w:val="16"/>
              </w:rPr>
              <w:t>50–300</w:t>
            </w:r>
          </w:p>
        </w:tc>
      </w:tr>
    </w:tbl>
    <w:p>
      <w:pPr>
        <w:spacing w:after="0" w:line="240" w:lineRule="auto"/>
      </w:pPr>
    </w:p>
    <w:p>
      <w:pPr>
        <w:jc w:val="both"/>
      </w:pPr>
      <w:r>
        <w:rPr>
          <w:i/>
        </w:rPr>
        <w:t>All values PROVISIONAL — teaching-level ranges used to keep Fig. 5 and this table internally consistent; each must be replaced with a cited literature value, matched to a stated test condition (sample form, moisture, thermal history), before submission.</w:t>
      </w:r>
    </w:p>
    <w:p>
      <w:pPr>
        <w:pStyle w:val="Heading1"/>
      </w:pPr>
      <w:r>
        <w:t>4. Molecular Weight and Its Measurement</w:t>
      </w:r>
    </w:p>
    <w:p>
      <w:pPr>
        <w:jc w:val="both"/>
      </w:pPr>
      <w:r>
        <w:rPr>
          <w:b w:val="0"/>
          <w:i w:val="0"/>
        </w:rPr>
        <w:t xml:space="preserve">Most surveys report molecular weight casually — "high molecular weight" — but the </w:t>
      </w:r>
      <w:r>
        <w:rPr>
          <w:i/>
        </w:rPr>
        <w:t>distribution</w:t>
      </w:r>
      <w:r>
        <w:rPr>
          <w:b w:val="0"/>
          <w:i w:val="0"/>
        </w:rPr>
        <w:t xml:space="preserve">, not the average, is where the biology shows. Of the standard descriptors (Mn, Mw, dispersity Đ = Mw/Mn [46], DP), Đ matters most: it, not Mn alone, sets processing behaviour and the spread of mechanical properties within a batch. </w:t>
      </w:r>
      <w:r>
        <w:rPr>
          <w:b/>
          <w:i w:val="0"/>
        </w:rPr>
        <w:t>Dispersity is a readout of synthesis mechanism, not noise</w:t>
      </w:r>
      <w:r>
        <w:rPr>
          <w:b w:val="0"/>
          <w:i w:val="0"/>
        </w:rPr>
        <w:t xml:space="preserve"> (Fig. 6): template-controlled biosynthesis gives proteins and nucleic acids Đ = 1.0 exactly, while every non-templated route — extraction (cellulose, chitosan, natural rubber) or catalysed polymerisation (PHA, PLA) — broadens the distribution in proportion to how loosely it is controlled. Natural rubber is the extreme: because it is extracted, not chain-grown, its Mw and MWD vary between </w:t>
      </w:r>
      <w:r>
        <w:rPr>
          <w:i/>
        </w:rPr>
        <w:t>Hevea</w:t>
      </w:r>
      <w:r>
        <w:rPr>
          <w:b w:val="0"/>
          <w:i w:val="0"/>
        </w:rPr>
        <w:t xml:space="preserve"> clones and with tree age [19] — an agricultural variability with no synthetic-polymer analogue.</w:t>
      </w:r>
    </w:p>
    <w:p>
      <w:pPr>
        <w:keepNext/>
        <w:spacing w:after="40"/>
        <w:jc w:val="center"/>
      </w:pPr>
      <w:r>
        <w:drawing>
          <wp:inline xmlns:a="http://schemas.openxmlformats.org/drawingml/2006/main" xmlns:pic="http://schemas.openxmlformats.org/drawingml/2006/picture">
            <wp:extent cx="3127347" cy="1508760"/>
            <wp:docPr id="5" name="Picture 5"/>
            <wp:cNvGraphicFramePr>
              <a:graphicFrameLocks noChangeAspect="1"/>
            </wp:cNvGraphicFramePr>
            <a:graphic>
              <a:graphicData uri="http://schemas.openxmlformats.org/drawingml/2006/picture">
                <pic:pic>
                  <pic:nvPicPr>
                    <pic:cNvPr id="0" name="fig9_dispersity.png"/>
                    <pic:cNvPicPr/>
                  </pic:nvPicPr>
                  <pic:blipFill>
                    <a:blip r:embed="rId13"/>
                    <a:stretch>
                      <a:fillRect/>
                    </a:stretch>
                  </pic:blipFill>
                  <pic:spPr>
                    <a:xfrm>
                      <a:off x="0" y="0"/>
                      <a:ext cx="3127347" cy="1508760"/>
                    </a:xfrm>
                    <a:prstGeom prst="rect"/>
                  </pic:spPr>
                </pic:pic>
              </a:graphicData>
            </a:graphic>
          </wp:inline>
        </w:drawing>
      </w:r>
    </w:p>
    <w:p>
      <w:pPr>
        <w:spacing w:line="240" w:lineRule="auto" w:after="80"/>
        <w:jc w:val="center"/>
      </w:pPr>
      <w:r>
        <w:rPr>
          <w:i/>
          <w:sz w:val="20"/>
        </w:rPr>
        <w:t>Figure 6. Dispersity Đ across families (colour by backbone class): an exact point at Đ = 1 for templated biosynthesis, literature ranges for PLA/PHA/chitosan/cellulose, and an open arrow for natural rubber, whose Đ is not consistently quantified.</w:t>
      </w:r>
    </w:p>
    <w:p>
      <w:pPr>
        <w:jc w:val="both"/>
      </w:pPr>
      <w:r>
        <w:rPr>
          <w:b/>
          <w:i w:val="0"/>
        </w:rPr>
        <w:t>Why molecular weight controls performance.</w:t>
      </w:r>
      <w:r>
        <w:rPr>
          <w:b w:val="0"/>
          <w:i w:val="0"/>
        </w:rPr>
        <w:t xml:space="preserve"> Mechanical integrity depends on chain entanglement above a characteristic Mc [48]; below it, strength and toughness collapse. Above Mc, tensile strength rises with Mn then saturates (Flory-type, σ ≈ σ∞ − K/Mn) [47], so degradation — first seen as falling MW — causes only modest property loss until it crosses back below Mc, where performance collapses abruptly (relevant to §7–§8). </w:t>
      </w:r>
      <w:r>
        <w:rPr>
          <w:b/>
          <w:i w:val="0"/>
        </w:rPr>
        <w:t>Measuring</w:t>
      </w:r>
      <w:r>
        <w:rPr>
          <w:b w:val="0"/>
          <w:i w:val="0"/>
        </w:rPr>
        <w:t xml:space="preserve"> biopolymer MW is also harder: cellulose dissolves in no standard SEC eluent, needing derivatisation or aggressive solvents, and aggregation and branching distort SEC calibrated against linear standards. SEC-MALS or Mark–Houwink viscometry are more defensible, but Mark–Houwink parameters are missing for many biopolymer/solvent pairs. Reported MW for one material therefore often spans an order of magnitude in the literature — an artefact of method more than real variation, so a MW figure is only comparable alongside its method.</w:t>
      </w:r>
    </w:p>
    <w:p>
      <w:pPr>
        <w:spacing w:line="240" w:lineRule="auto" w:after="40"/>
      </w:pPr>
      <w:r>
        <w:rPr>
          <w:b/>
          <w:i w:val="0"/>
          <w:sz w:val="20"/>
        </w:rPr>
        <w:t>Table 3.</w:t>
      </w:r>
      <w:r>
        <w:rPr>
          <w:b w:val="0"/>
          <w:i w:val="0"/>
          <w:sz w:val="20"/>
        </w:rPr>
        <w:t xml:space="preserve"> Typical number-average molecular weight for representative biopolymers, with the standard method by which each is measured (dispersity Đ is plotted in Fig. 6 instead of repeated here).</w:t>
      </w:r>
    </w:p>
    <w:tbl>
      <w:tblPr>
        <w:tblW w:type="auto" w:w="0"/>
        <w:jc w:val="center"/>
        <w:tblLayout w:type="fixed"/>
        <w:tblLook w:firstColumn="1" w:firstRow="1" w:lastColumn="0" w:lastRow="0" w:noHBand="0" w:noVBand="1" w:val="04A0"/>
        <w:tblLayout w:type="fixed"/>
      </w:tblPr>
      <w:tblGrid>
        <w:gridCol w:w="2260"/>
        <w:gridCol w:w="3046"/>
        <w:gridCol w:w="3621"/>
      </w:tblGrid>
      <w:tr>
        <w:tc>
          <w:tcPr>
            <w:tcW w:type="dxa" w:w="2260"/>
            <w:tcBorders>
              <w:top w:val="single" w:sz="8" w:space="0" w:color="000000"/>
              <w:bottom w:val="single" w:sz="8" w:space="0" w:color="000000"/>
            </w:tcBorders>
          </w:tcPr>
          <w:p>
            <w:pPr>
              <w:spacing w:after="10" w:before="10" w:line="240" w:lineRule="auto"/>
            </w:pPr>
            <w:r>
              <w:rPr>
                <w:rFonts w:ascii="Arial" w:hAnsi="Arial"/>
                <w:b/>
                <w:i w:val="0"/>
                <w:sz w:val="16"/>
              </w:rPr>
              <w:t>Material</w:t>
            </w:r>
          </w:p>
        </w:tc>
        <w:tc>
          <w:tcPr>
            <w:tcW w:type="dxa" w:w="3047"/>
            <w:tcBorders>
              <w:top w:val="single" w:sz="8" w:space="0" w:color="000000"/>
              <w:bottom w:val="single" w:sz="8" w:space="0" w:color="000000"/>
            </w:tcBorders>
          </w:tcPr>
          <w:p>
            <w:pPr>
              <w:spacing w:after="10" w:before="10" w:line="240" w:lineRule="auto"/>
            </w:pPr>
            <w:r>
              <w:rPr>
                <w:rFonts w:ascii="Arial" w:hAnsi="Arial"/>
                <w:b/>
                <w:i w:val="0"/>
                <w:sz w:val="16"/>
              </w:rPr>
              <w:t>Typical Mn (g mol⁻¹)</w:t>
            </w:r>
          </w:p>
        </w:tc>
        <w:tc>
          <w:tcPr>
            <w:tcW w:type="dxa" w:w="3621"/>
            <w:tcBorders>
              <w:top w:val="single" w:sz="8" w:space="0" w:color="000000"/>
              <w:bottom w:val="single" w:sz="8" w:space="0" w:color="000000"/>
            </w:tcBorders>
          </w:tcPr>
          <w:p>
            <w:pPr>
              <w:spacing w:after="10" w:before="10" w:line="240" w:lineRule="auto"/>
            </w:pPr>
            <w:r>
              <w:rPr>
                <w:rFonts w:ascii="Arial" w:hAnsi="Arial"/>
                <w:b/>
                <w:i w:val="0"/>
                <w:sz w:val="16"/>
              </w:rPr>
              <w:t>Standard method (key limitation)</w:t>
            </w:r>
          </w:p>
        </w:tc>
      </w:tr>
      <w:tr>
        <w:tc>
          <w:tcPr>
            <w:tcW w:type="dxa" w:w="2260"/>
            <w:tcBorders>
              <w:top w:val="nil"/>
              <w:bottom w:val="nil"/>
            </w:tcBorders>
          </w:tcPr>
          <w:p>
            <w:pPr>
              <w:spacing w:after="10" w:before="10" w:line="240" w:lineRule="auto"/>
            </w:pPr>
            <w:r>
              <w:rPr>
                <w:rFonts w:ascii="Arial" w:hAnsi="Arial"/>
                <w:b w:val="0"/>
                <w:i w:val="0"/>
                <w:sz w:val="16"/>
              </w:rPr>
              <w:t>Proteins / DNA / RNA</w:t>
            </w:r>
          </w:p>
        </w:tc>
        <w:tc>
          <w:tcPr>
            <w:tcW w:type="dxa" w:w="3047"/>
            <w:tcBorders>
              <w:top w:val="nil"/>
              <w:bottom w:val="nil"/>
            </w:tcBorders>
          </w:tcPr>
          <w:p>
            <w:pPr>
              <w:spacing w:after="10" w:before="10" w:line="240" w:lineRule="auto"/>
            </w:pPr>
            <w:r>
              <w:rPr>
                <w:rFonts w:ascii="Arial" w:hAnsi="Arial"/>
                <w:b w:val="0"/>
                <w:i w:val="0"/>
                <w:sz w:val="16"/>
              </w:rPr>
              <w:t>sequence-specific</w:t>
            </w:r>
          </w:p>
        </w:tc>
        <w:tc>
          <w:tcPr>
            <w:tcW w:type="dxa" w:w="3621"/>
            <w:tcBorders>
              <w:top w:val="nil"/>
              <w:bottom w:val="nil"/>
            </w:tcBorders>
          </w:tcPr>
          <w:p>
            <w:pPr>
              <w:spacing w:after="10" w:before="10" w:line="240" w:lineRule="auto"/>
            </w:pPr>
            <w:r>
              <w:rPr>
                <w:rFonts w:ascii="Arial" w:hAnsi="Arial"/>
                <w:b w:val="0"/>
                <w:i w:val="0"/>
                <w:sz w:val="16"/>
              </w:rPr>
              <w:t>mass spectrometry (none — templated)</w:t>
            </w:r>
          </w:p>
        </w:tc>
      </w:tr>
      <w:tr>
        <w:tc>
          <w:tcPr>
            <w:tcW w:type="dxa" w:w="2260"/>
            <w:tcBorders>
              <w:top w:val="nil"/>
              <w:bottom w:val="nil"/>
            </w:tcBorders>
          </w:tcPr>
          <w:p>
            <w:pPr>
              <w:spacing w:after="10" w:before="10" w:line="240" w:lineRule="auto"/>
            </w:pPr>
            <w:r>
              <w:rPr>
                <w:rFonts w:ascii="Arial" w:hAnsi="Arial"/>
                <w:b w:val="0"/>
                <w:i w:val="0"/>
                <w:sz w:val="16"/>
              </w:rPr>
              <w:t>Cellulose</w:t>
            </w:r>
          </w:p>
        </w:tc>
        <w:tc>
          <w:tcPr>
            <w:tcW w:type="dxa" w:w="3047"/>
            <w:tcBorders>
              <w:top w:val="nil"/>
              <w:bottom w:val="nil"/>
            </w:tcBorders>
          </w:tcPr>
          <w:p>
            <w:pPr>
              <w:spacing w:after="10" w:before="10" w:line="240" w:lineRule="auto"/>
            </w:pPr>
            <w:r>
              <w:rPr>
                <w:rFonts w:ascii="Arial" w:hAnsi="Arial"/>
                <w:b w:val="0"/>
                <w:i w:val="0"/>
                <w:sz w:val="16"/>
              </w:rPr>
              <w:t>10⁴–10⁶</w:t>
            </w:r>
          </w:p>
        </w:tc>
        <w:tc>
          <w:tcPr>
            <w:tcW w:type="dxa" w:w="3621"/>
            <w:tcBorders>
              <w:top w:val="nil"/>
              <w:bottom w:val="nil"/>
            </w:tcBorders>
          </w:tcPr>
          <w:p>
            <w:pPr>
              <w:spacing w:after="10" w:before="10" w:line="240" w:lineRule="auto"/>
            </w:pPr>
            <w:r>
              <w:rPr>
                <w:rFonts w:ascii="Arial" w:hAnsi="Arial"/>
                <w:b w:val="0"/>
                <w:i w:val="0"/>
                <w:sz w:val="16"/>
              </w:rPr>
              <w:t>viscometry / SEC-MALS after derivatisation (SEC-insoluble)</w:t>
            </w:r>
          </w:p>
        </w:tc>
      </w:tr>
      <w:tr>
        <w:tc>
          <w:tcPr>
            <w:tcW w:type="dxa" w:w="2260"/>
            <w:tcBorders>
              <w:top w:val="nil"/>
              <w:bottom w:val="nil"/>
            </w:tcBorders>
          </w:tcPr>
          <w:p>
            <w:pPr>
              <w:spacing w:after="10" w:before="10" w:line="240" w:lineRule="auto"/>
            </w:pPr>
            <w:r>
              <w:rPr>
                <w:rFonts w:ascii="Arial" w:hAnsi="Arial"/>
                <w:b w:val="0"/>
                <w:i w:val="0"/>
                <w:sz w:val="16"/>
              </w:rPr>
              <w:t>Chitosan</w:t>
            </w:r>
          </w:p>
        </w:tc>
        <w:tc>
          <w:tcPr>
            <w:tcW w:type="dxa" w:w="3047"/>
            <w:tcBorders>
              <w:top w:val="nil"/>
              <w:bottom w:val="nil"/>
            </w:tcBorders>
          </w:tcPr>
          <w:p>
            <w:pPr>
              <w:spacing w:after="10" w:before="10" w:line="240" w:lineRule="auto"/>
            </w:pPr>
            <w:r>
              <w:rPr>
                <w:rFonts w:ascii="Arial" w:hAnsi="Arial"/>
                <w:b w:val="0"/>
                <w:i w:val="0"/>
                <w:sz w:val="16"/>
              </w:rPr>
              <w:t>10⁴–10⁶</w:t>
            </w:r>
          </w:p>
        </w:tc>
        <w:tc>
          <w:tcPr>
            <w:tcW w:type="dxa" w:w="3621"/>
            <w:tcBorders>
              <w:top w:val="nil"/>
              <w:bottom w:val="nil"/>
            </w:tcBorders>
          </w:tcPr>
          <w:p>
            <w:pPr>
              <w:spacing w:after="10" w:before="10" w:line="240" w:lineRule="auto"/>
            </w:pPr>
            <w:r>
              <w:rPr>
                <w:rFonts w:ascii="Arial" w:hAnsi="Arial"/>
                <w:b w:val="0"/>
                <w:i w:val="0"/>
                <w:sz w:val="16"/>
              </w:rPr>
              <w:t>intrinsic viscosity (DD/MW trade-off, §3.1)</w:t>
            </w:r>
          </w:p>
        </w:tc>
      </w:tr>
      <w:tr>
        <w:tc>
          <w:tcPr>
            <w:tcW w:type="dxa" w:w="2260"/>
            <w:tcBorders>
              <w:top w:val="nil"/>
              <w:bottom w:val="nil"/>
            </w:tcBorders>
          </w:tcPr>
          <w:p>
            <w:pPr>
              <w:spacing w:after="10" w:before="10" w:line="240" w:lineRule="auto"/>
            </w:pPr>
            <w:r>
              <w:rPr>
                <w:rFonts w:ascii="Arial" w:hAnsi="Arial"/>
                <w:b w:val="0"/>
                <w:i w:val="0"/>
                <w:sz w:val="16"/>
              </w:rPr>
              <w:t>PHA (PHB/PHBV)</w:t>
            </w:r>
          </w:p>
        </w:tc>
        <w:tc>
          <w:tcPr>
            <w:tcW w:type="dxa" w:w="3047"/>
            <w:tcBorders>
              <w:top w:val="nil"/>
              <w:bottom w:val="nil"/>
            </w:tcBorders>
          </w:tcPr>
          <w:p>
            <w:pPr>
              <w:spacing w:after="10" w:before="10" w:line="240" w:lineRule="auto"/>
            </w:pPr>
            <w:r>
              <w:rPr>
                <w:rFonts w:ascii="Arial" w:hAnsi="Arial"/>
                <w:b w:val="0"/>
                <w:i w:val="0"/>
                <w:sz w:val="16"/>
              </w:rPr>
              <w:t>10⁵–10⁶</w:t>
            </w:r>
          </w:p>
        </w:tc>
        <w:tc>
          <w:tcPr>
            <w:tcW w:type="dxa" w:w="3621"/>
            <w:tcBorders>
              <w:top w:val="nil"/>
              <w:bottom w:val="nil"/>
            </w:tcBorders>
          </w:tcPr>
          <w:p>
            <w:pPr>
              <w:spacing w:after="10" w:before="10" w:line="240" w:lineRule="auto"/>
            </w:pPr>
            <w:r>
              <w:rPr>
                <w:rFonts w:ascii="Arial" w:hAnsi="Arial"/>
                <w:b w:val="0"/>
                <w:i w:val="0"/>
                <w:sz w:val="16"/>
              </w:rPr>
              <w:t>GPC/SEC vs polystyrene (calibration mismatch)</w:t>
            </w:r>
          </w:p>
        </w:tc>
      </w:tr>
      <w:tr>
        <w:tc>
          <w:tcPr>
            <w:tcW w:type="dxa" w:w="2260"/>
            <w:tcBorders>
              <w:top w:val="nil"/>
              <w:bottom w:val="nil"/>
            </w:tcBorders>
          </w:tcPr>
          <w:p>
            <w:pPr>
              <w:spacing w:after="10" w:before="10" w:line="240" w:lineRule="auto"/>
            </w:pPr>
            <w:r>
              <w:rPr>
                <w:rFonts w:ascii="Arial" w:hAnsi="Arial"/>
                <w:b w:val="0"/>
                <w:i w:val="0"/>
                <w:sz w:val="16"/>
              </w:rPr>
              <w:t>PLA</w:t>
            </w:r>
          </w:p>
        </w:tc>
        <w:tc>
          <w:tcPr>
            <w:tcW w:type="dxa" w:w="3047"/>
            <w:tcBorders>
              <w:top w:val="nil"/>
              <w:bottom w:val="nil"/>
            </w:tcBorders>
          </w:tcPr>
          <w:p>
            <w:pPr>
              <w:spacing w:after="10" w:before="10" w:line="240" w:lineRule="auto"/>
            </w:pPr>
            <w:r>
              <w:rPr>
                <w:rFonts w:ascii="Arial" w:hAnsi="Arial"/>
                <w:b w:val="0"/>
                <w:i w:val="0"/>
                <w:sz w:val="16"/>
              </w:rPr>
              <w:t>10⁴–10⁵</w:t>
            </w:r>
          </w:p>
        </w:tc>
        <w:tc>
          <w:tcPr>
            <w:tcW w:type="dxa" w:w="3621"/>
            <w:tcBorders>
              <w:top w:val="nil"/>
              <w:bottom w:val="nil"/>
            </w:tcBorders>
          </w:tcPr>
          <w:p>
            <w:pPr>
              <w:spacing w:after="10" w:before="10" w:line="240" w:lineRule="auto"/>
            </w:pPr>
            <w:r>
              <w:rPr>
                <w:rFonts w:ascii="Arial" w:hAnsi="Arial"/>
                <w:b w:val="0"/>
                <w:i w:val="0"/>
                <w:sz w:val="16"/>
              </w:rPr>
              <w:t>GPC/SEC (in-process moisture hydrolysis)</w:t>
            </w:r>
          </w:p>
        </w:tc>
      </w:tr>
      <w:tr>
        <w:tc>
          <w:tcPr>
            <w:tcW w:type="dxa" w:w="2260"/>
            <w:tcBorders>
              <w:top w:val="nil"/>
              <w:bottom w:val="single" w:sz="8" w:space="0" w:color="000000"/>
            </w:tcBorders>
          </w:tcPr>
          <w:p>
            <w:pPr>
              <w:spacing w:after="10" w:before="10" w:line="240" w:lineRule="auto"/>
            </w:pPr>
            <w:r>
              <w:rPr>
                <w:rFonts w:ascii="Arial" w:hAnsi="Arial"/>
                <w:b w:val="0"/>
                <w:i w:val="0"/>
                <w:sz w:val="16"/>
              </w:rPr>
              <w:t>Natural rubber</w:t>
            </w:r>
          </w:p>
        </w:tc>
        <w:tc>
          <w:tcPr>
            <w:tcW w:type="dxa" w:w="3047"/>
            <w:tcBorders>
              <w:top w:val="nil"/>
              <w:bottom w:val="single" w:sz="8" w:space="0" w:color="000000"/>
            </w:tcBorders>
          </w:tcPr>
          <w:p>
            <w:pPr>
              <w:spacing w:after="10" w:before="10" w:line="240" w:lineRule="auto"/>
            </w:pPr>
            <w:r>
              <w:rPr>
                <w:rFonts w:ascii="Arial" w:hAnsi="Arial"/>
                <w:b w:val="0"/>
                <w:i w:val="0"/>
                <w:sz w:val="16"/>
              </w:rPr>
              <w:t>&gt;10⁶</w:t>
            </w:r>
          </w:p>
        </w:tc>
        <w:tc>
          <w:tcPr>
            <w:tcW w:type="dxa" w:w="3621"/>
            <w:tcBorders>
              <w:top w:val="nil"/>
              <w:bottom w:val="single" w:sz="8" w:space="0" w:color="000000"/>
            </w:tcBorders>
          </w:tcPr>
          <w:p>
            <w:pPr>
              <w:spacing w:after="10" w:before="10" w:line="240" w:lineRule="auto"/>
            </w:pPr>
            <w:r>
              <w:rPr>
                <w:rFonts w:ascii="Arial" w:hAnsi="Arial"/>
                <w:b w:val="0"/>
                <w:i w:val="0"/>
                <w:sz w:val="16"/>
              </w:rPr>
              <w:t>intrinsic viscosity (no synthetic analogue)</w:t>
            </w:r>
          </w:p>
        </w:tc>
      </w:tr>
    </w:tbl>
    <w:p>
      <w:pPr>
        <w:spacing w:after="0" w:line="240" w:lineRule="auto"/>
      </w:pPr>
    </w:p>
    <w:p>
      <w:pPr>
        <w:jc w:val="both"/>
      </w:pPr>
      <w:r>
        <w:rPr>
          <w:i/>
        </w:rPr>
        <w:t>Mn ranges are teaching-level approximations; confirm each against a primary source before submission. The method column and its limitations are supported by refs [39,46] and the SEC/MALS discussion in §4.</w:t>
      </w:r>
    </w:p>
    <w:p>
      <w:pPr>
        <w:pStyle w:val="Heading1"/>
      </w:pPr>
      <w:r>
        <w:t>5. General Property Patterns</w:t>
      </w:r>
    </w:p>
    <w:p>
      <w:pPr>
        <w:jc w:val="both"/>
      </w:pPr>
      <w:r>
        <w:rPr>
          <w:b w:val="0"/>
          <w:i w:val="0"/>
        </w:rPr>
        <w:t>Section 3 examined each family in turn; this section turns the same evidence sideways to ask what holds across all of them.</w:t>
      </w:r>
    </w:p>
    <w:p>
      <w:pPr>
        <w:pStyle w:val="Heading2"/>
      </w:pPr>
      <w:r>
        <w:t>5.1 Thermal Behaviour</w:t>
      </w:r>
    </w:p>
    <w:p>
      <w:pPr>
        <w:jc w:val="both"/>
      </w:pPr>
      <w:r>
        <w:rPr>
          <w:b w:val="0"/>
          <w:i w:val="0"/>
        </w:rPr>
        <w:t>A decomposition temperature at or below the melting point is close to the rule (Fig. 5a): the same network that gives stiffness raises the melting energy toward the bond-breaking energy, crowding the two transitions — cellulose, chitosan and silk fibroin never melt at all. Among the polyesters the crowding is quantitative: PHB's window is only ~25 °C, PHBV's ~55 °C, PLLA's wider still [44]. Fig. 5a plots the TGA onset, so the usable window for PLLA and PHB is narrower still, since melt hydrolysis (§4) sets in earlier.</w:t>
      </w:r>
    </w:p>
    <w:p>
      <w:pPr>
        <w:pStyle w:val="Heading2"/>
      </w:pPr>
      <w:r>
        <w:t>5.2 Mechanical Behaviour</w:t>
      </w:r>
    </w:p>
    <w:p>
      <w:pPr>
        <w:jc w:val="both"/>
      </w:pPr>
      <w:r>
        <w:rPr>
          <w:b w:val="0"/>
          <w:i w:val="0"/>
        </w:rPr>
        <w:t>The same logic sets the mechanical envelope (Fig. 5b): high crystallinity and dense hydrogen bonding raise modulus but remove the flexible segments that let polyolefins draw before breaking, so biopolymers sit at high modulus, low elongation relative to PE/PP/PET [11,43]. Natural rubber is the exception — no modulus at rest, performance generated on demand by SIC (§3.5, §7.3). The ellipses in Fig. 5b are ranges, not points: sample form, moisture, crystallinity and thermal history each move a material's data by an order of magnitude, recurring as "batch variability" in §7.2.</w:t>
      </w:r>
    </w:p>
    <w:p>
      <w:pPr>
        <w:keepNext/>
        <w:spacing w:after="40"/>
        <w:jc w:val="center"/>
      </w:pPr>
      <w:r>
        <w:drawing>
          <wp:inline xmlns:a="http://schemas.openxmlformats.org/drawingml/2006/main" xmlns:pic="http://schemas.openxmlformats.org/drawingml/2006/picture">
            <wp:extent cx="3687260" cy="1691640"/>
            <wp:docPr id="6" name="Picture 6"/>
            <wp:cNvGraphicFramePr>
              <a:graphicFrameLocks noChangeAspect="1"/>
            </wp:cNvGraphicFramePr>
            <a:graphic>
              <a:graphicData uri="http://schemas.openxmlformats.org/drawingml/2006/picture">
                <pic:pic>
                  <pic:nvPicPr>
                    <pic:cNvPr id="0" name="fig_property_maps.png"/>
                    <pic:cNvPicPr/>
                  </pic:nvPicPr>
                  <pic:blipFill>
                    <a:blip r:embed="rId14"/>
                    <a:stretch>
                      <a:fillRect/>
                    </a:stretch>
                  </pic:blipFill>
                  <pic:spPr>
                    <a:xfrm>
                      <a:off x="0" y="0"/>
                      <a:ext cx="3687260" cy="1691640"/>
                    </a:xfrm>
                    <a:prstGeom prst="rect"/>
                  </pic:spPr>
                </pic:pic>
              </a:graphicData>
            </a:graphic>
          </wp:inline>
        </w:drawing>
      </w:r>
    </w:p>
    <w:p>
      <w:pPr>
        <w:spacing w:line="240" w:lineRule="auto" w:after="80"/>
        <w:jc w:val="center"/>
      </w:pPr>
      <w:r>
        <w:rPr>
          <w:i/>
          <w:sz w:val="20"/>
        </w:rPr>
        <w:t>Figure 5. Thermal and mechanical envelopes, drawn by the authors from `figures/data/*.csv`. (a) Tg (open circle), Tm (diamond) and TGA decomposition onset (bar) on one axis; the shaded band is the melt-processing window (Tm→Td), its width labelled — cellulose, native starch, chitosan and silk have none. (b) Modulus vs. elongation at break (log–log); ellipses span literature values for the stated sample form (not error bars), PE/PP/PET for reference.</w:t>
      </w:r>
    </w:p>
    <w:p>
      <w:pPr>
        <w:pStyle w:val="Heading2"/>
      </w:pPr>
      <w:r>
        <w:t>5.3 Hydrophilicity and Barrier Properties</w:t>
      </w:r>
    </w:p>
    <w:p>
      <w:pPr>
        <w:jc w:val="both"/>
      </w:pPr>
      <w:r>
        <w:rPr>
          <w:b w:val="0"/>
          <w:i w:val="0"/>
        </w:rPr>
        <w:t>The polar groups behind the strength of §5.1–5.2 have a third consequence: strong hygroscopicity. Absorbed water plasticises the amorphous fraction and swells free volume, so barrier performance falls as humidity rises — which is why PLA and starch films must carry a storage-humidity condition, not a fixed barrier rating. ⚙️ Atomistic free-volume/diffusion modelling can predict this ahead of a packaging trial.</w:t>
      </w:r>
    </w:p>
    <w:p>
      <w:pPr>
        <w:pStyle w:val="Heading2"/>
      </w:pPr>
      <w:r>
        <w:t>5.4 Degradation as a Material Property</w:t>
      </w:r>
    </w:p>
    <w:p>
      <w:pPr>
        <w:jc w:val="both"/>
      </w:pPr>
      <w:r>
        <w:rPr>
          <w:b w:val="0"/>
          <w:i w:val="0"/>
        </w:rPr>
        <w:t>Degradation is a rate process governed by structure (Fig. 7). Polyesters degrade by autocatalytic ester hydrolysis — each scission's acid end accelerates the next, so interiors erode faster than surfaces once the part is below a critical thickness (bulk erosion [49]); polysaccharides and proteins degrade by enzymatic attack, which reaches only amorphous segments, so rate is set by accessible surface area, not bulk chemistry [50]. Crystallinity is therefore the report's central trade-off: the feature that sets modulus (§5.2) and blocks water uptake (§5.3) also blocks the attack that would degrade the material. ⚙️ Computed ester-hydrolysis barriers fall in the order base-catalysed &lt; acid-catalysed &lt; neutral, matching the observed pH-dependence of the rate.</w:t>
      </w:r>
    </w:p>
    <w:p>
      <w:pPr>
        <w:keepNext/>
        <w:spacing w:after="40"/>
        <w:jc w:val="center"/>
      </w:pPr>
      <w:r>
        <w:drawing>
          <wp:inline xmlns:a="http://schemas.openxmlformats.org/drawingml/2006/main" xmlns:pic="http://schemas.openxmlformats.org/drawingml/2006/picture">
            <wp:extent cx="5055837" cy="1188720"/>
            <wp:docPr id="7" name="Picture 7"/>
            <wp:cNvGraphicFramePr>
              <a:graphicFrameLocks noChangeAspect="1"/>
            </wp:cNvGraphicFramePr>
            <a:graphic>
              <a:graphicData uri="http://schemas.openxmlformats.org/drawingml/2006/picture">
                <pic:pic>
                  <pic:nvPicPr>
                    <pic:cNvPr id="0" name="fig_degradation.png"/>
                    <pic:cNvPicPr/>
                  </pic:nvPicPr>
                  <pic:blipFill>
                    <a:blip r:embed="rId15"/>
                    <a:stretch>
                      <a:fillRect/>
                    </a:stretch>
                  </pic:blipFill>
                  <pic:spPr>
                    <a:xfrm>
                      <a:off x="0" y="0"/>
                      <a:ext cx="5055837" cy="1188720"/>
                    </a:xfrm>
                    <a:prstGeom prst="rect"/>
                  </pic:spPr>
                </pic:pic>
              </a:graphicData>
            </a:graphic>
          </wp:inline>
        </w:drawing>
      </w:r>
    </w:p>
    <w:p>
      <w:pPr>
        <w:spacing w:line="240" w:lineRule="auto" w:after="80"/>
        <w:jc w:val="center"/>
      </w:pPr>
      <w:r>
        <w:rPr>
          <w:i/>
          <w:sz w:val="20"/>
        </w:rPr>
        <w:t>Figure 7. Two degradation routes, drawn by the authors: (a) polyester ester hydrolysis — the acid end group autocatalyses further scission, so thick parts erode from the inside (bulk erosion); (b) enzymatic attack on polysaccharides/proteins reaches only amorphous regions, so crystallinity sets the rate.</w:t>
      </w:r>
    </w:p>
    <w:p>
      <w:pPr>
        <w:pStyle w:val="Heading1"/>
      </w:pPr>
      <w:r>
        <w:t>6. Processing</w:t>
      </w:r>
    </w:p>
    <w:p>
      <w:pPr>
        <w:jc w:val="both"/>
      </w:pPr>
      <w:r>
        <w:rPr>
          <w:b w:val="0"/>
          <w:i w:val="0"/>
        </w:rPr>
        <w:t>The thermal windows of §5.1 set a two-way decision. Materials with a stable melt window above Tm and below the decomposition/hydrolysis onset — PBS (wide), PLA (dry first or MW collapses, §4), PHB (~25 °C, tight control) — are melt-processed; cellulose and chitosan, with none, are shaped from solution (NMMO/Lyocell, dilute-acid spinning). Either way the countermeasures are shared — plasticisers, nucleating agents, compatibilised blends (PLA/PBAT, PLA/TPS), nanocellulose reinforcement — and the recurring judgement holds: most reported "performance shortfalls" are processing-window shortfalls, not material-property shortfalls (§5.1–5.2).</w:t>
      </w:r>
    </w:p>
    <w:p>
      <w:pPr>
        <w:pStyle w:val="Heading1"/>
      </w:pPr>
      <w:r>
        <w:t>7. Advantages and Disadvantages Compared with Synthetic Polymers</w:t>
      </w:r>
    </w:p>
    <w:p>
      <w:pPr>
        <w:pStyle w:val="Heading2"/>
      </w:pPr>
      <w:r>
        <w:t>7.1 Where Biopolymers Genuinely Win</w:t>
      </w:r>
    </w:p>
    <w:p>
      <w:pPr>
        <w:jc w:val="both"/>
      </w:pPr>
      <w:r>
        <w:rPr>
          <w:b w:val="0"/>
          <w:i w:val="0"/>
        </w:rPr>
        <w:t xml:space="preserve">Four advantages are structural, each tracing to §3. </w:t>
      </w:r>
      <w:r>
        <w:rPr>
          <w:b/>
          <w:i w:val="0"/>
        </w:rPr>
        <w:t>Renewable feedstock</w:t>
      </w:r>
      <w:r>
        <w:rPr>
          <w:b w:val="0"/>
          <w:i w:val="0"/>
        </w:rPr>
        <w:t xml:space="preserve"> is the only one uniform across all five families. </w:t>
      </w:r>
      <w:r>
        <w:rPr>
          <w:b/>
          <w:i w:val="0"/>
        </w:rPr>
        <w:t>Biodegradability in leakage-prone contexts</w:t>
      </w:r>
      <w:r>
        <w:rPr>
          <w:b w:val="0"/>
          <w:i w:val="0"/>
        </w:rPr>
        <w:t xml:space="preserve"> (mulch film, fishing gear, disposable foodware) turns hydrolytic/enzymatic susceptibility from a burden into a desired property when the environment matches the material [51] (§5.4). </w:t>
      </w:r>
      <w:r>
        <w:rPr>
          <w:b/>
          <w:i w:val="0"/>
        </w:rPr>
        <w:t>Biocompatibility and bioresorbability</w:t>
      </w:r>
      <w:r>
        <w:rPr>
          <w:b w:val="0"/>
          <w:i w:val="0"/>
        </w:rPr>
        <w:t xml:space="preserve"> let PLA/PGA sutures [52] and collagen/alginate/chitosan hydrogels and dressings [55] do what commodity synthetics cannot without costly modification — the one space (§8) where biopolymers are the only viable class, though not unconditionally (§7.3). And </w:t>
      </w:r>
      <w:r>
        <w:rPr>
          <w:b/>
          <w:i w:val="0"/>
        </w:rPr>
        <w:t>intrinsic functionality beyond mechanics</w:t>
      </w:r>
      <w:r>
        <w:rPr>
          <w:b w:val="0"/>
          <w:i w:val="0"/>
        </w:rPr>
        <w:t xml:space="preserve"> — chirality, pH-responsive charge, sequence-encoded bioactivity — comes free with the biological structure.</w:t>
      </w:r>
    </w:p>
    <w:p>
      <w:pPr>
        <w:pStyle w:val="Heading2"/>
      </w:pPr>
      <w:r>
        <w:t>7.2 Where They Lose — Stated with Numbers, Not Adjectives</w:t>
      </w:r>
    </w:p>
    <w:p>
      <w:pPr>
        <w:pStyle w:val="ListBullet"/>
      </w:pPr>
      <w:r>
        <w:rPr>
          <w:b/>
          <w:i w:val="0"/>
        </w:rPr>
        <w:t>Price.</w:t>
      </w:r>
      <w:r>
        <w:rPr>
          <w:b w:val="0"/>
          <w:i w:val="0"/>
        </w:rPr>
        <w:t xml:space="preserve"> PLA is several times the price of commodity PE/PP, PHA higher still [16,53]; a material-specific $/kg figure still needs a current market report.</w:t>
      </w:r>
    </w:p>
    <w:p>
      <w:pPr>
        <w:pStyle w:val="ListBullet"/>
      </w:pPr>
      <w:r>
        <w:rPr>
          <w:b/>
          <w:i w:val="0"/>
        </w:rPr>
        <w:t>Heat/barrier.</w:t>
      </w:r>
      <w:r>
        <w:rPr>
          <w:b w:val="0"/>
          <w:i w:val="0"/>
        </w:rPr>
        <w:t xml:space="preserve"> PLA's HDT (~55–65 °C) sits well below PP's ~100 °C+ without stereocomplexation (§3.2) [13,42]; its O₂/CO₂ transmission matches PET's, but water-vapour barrier is worse, and starch films worse again [14] — the real critique is moisture sensitivity (§5.3), not an oxygen deficit.</w:t>
      </w:r>
    </w:p>
    <w:p>
      <w:pPr>
        <w:pStyle w:val="ListBullet"/>
      </w:pPr>
      <w:r>
        <w:rPr>
          <w:b/>
          <w:i w:val="0"/>
        </w:rPr>
        <w:t>Brittleness/hygroscopicity.</w:t>
      </w:r>
      <w:r>
        <w:rPr>
          <w:b w:val="0"/>
          <w:i w:val="0"/>
        </w:rPr>
        <w:t xml:space="preserve"> PHB's secondary crystallisation and PLA's sub-Tg ageing embrittle on storage [43]; starch drifts with humidity, and PLA must be dried before melt processing or MW drops uncontrollably (§4).</w:t>
      </w:r>
    </w:p>
    <w:p>
      <w:pPr>
        <w:pStyle w:val="ListBullet"/>
      </w:pPr>
      <w:r>
        <w:rPr>
          <w:b/>
          <w:i w:val="0"/>
        </w:rPr>
        <w:t>Batch variability.</w:t>
      </w:r>
      <w:r>
        <w:rPr>
          <w:b w:val="0"/>
          <w:i w:val="0"/>
        </w:rPr>
        <w:t xml:space="preserve"> Agricultural sourcing (alginate M/G, chitosan DD, starch amylose, NR clone/age [19]) varies in ways petrochemical monomers do not.</w:t>
      </w:r>
    </w:p>
    <w:p>
      <w:pPr>
        <w:pStyle w:val="ListBullet"/>
      </w:pPr>
      <w:r>
        <w:rPr>
          <w:b/>
          <w:i w:val="0"/>
        </w:rPr>
        <w:t>Recycling compatibility.</w:t>
      </w:r>
      <w:r>
        <w:rPr>
          <w:b w:val="0"/>
          <w:i w:val="0"/>
        </w:rPr>
        <w:t xml:space="preserve"> A 2022 study found in-stream PLA at only 0–0.019% of PET recycling streams, kept by NIR sorting below the ~1% threshold that measurably affects rPET [15] — a sorting-infrastructure dependency, not an inherent incompatibility.</w:t>
      </w:r>
    </w:p>
    <w:p>
      <w:pPr>
        <w:pStyle w:val="Heading2"/>
      </w:pPr>
      <w:r>
        <w:t>7.3 Case Study: Natural Rubber vs. a Synthetic Analogue (SBR)</w:t>
      </w:r>
    </w:p>
    <w:p>
      <w:pPr>
        <w:jc w:val="both"/>
      </w:pPr>
      <w:r>
        <w:rPr>
          <w:b w:val="0"/>
          <w:i w:val="0"/>
        </w:rPr>
        <w:t>NR and styrene–butadiene rubber (SBR) are compounded, filled and vulcanised the same way and compete in the same applications (tyre tread, damping, belting) — the cleanest same-application comparison here, since differences trace to backbone chemistry, not processing. Fig. 8 shows the chain-scale origin (SIC); Table 5 scores both across five dimensions [10,18–32].</w:t>
      </w:r>
    </w:p>
    <w:p>
      <w:pPr>
        <w:keepNext/>
        <w:spacing w:after="40"/>
        <w:jc w:val="center"/>
      </w:pPr>
      <w:r>
        <w:drawing>
          <wp:inline xmlns:a="http://schemas.openxmlformats.org/drawingml/2006/main" xmlns:pic="http://schemas.openxmlformats.org/drawingml/2006/picture">
            <wp:extent cx="3887561" cy="1463040"/>
            <wp:docPr id="8" name="Picture 8"/>
            <wp:cNvGraphicFramePr>
              <a:graphicFrameLocks noChangeAspect="1"/>
            </wp:cNvGraphicFramePr>
            <a:graphic>
              <a:graphicData uri="http://schemas.openxmlformats.org/drawingml/2006/picture">
                <pic:pic>
                  <pic:nvPicPr>
                    <pic:cNvPr id="0" name="fig8_nr_sbr_comparison.png"/>
                    <pic:cNvPicPr/>
                  </pic:nvPicPr>
                  <pic:blipFill>
                    <a:blip r:embed="rId16"/>
                    <a:stretch>
                      <a:fillRect/>
                    </a:stretch>
                  </pic:blipFill>
                  <pic:spPr>
                    <a:xfrm>
                      <a:off x="0" y="0"/>
                      <a:ext cx="3887561" cy="1463040"/>
                    </a:xfrm>
                    <a:prstGeom prst="rect"/>
                  </pic:spPr>
                </pic:pic>
              </a:graphicData>
            </a:graphic>
          </wp:inline>
        </w:drawing>
      </w:r>
    </w:p>
    <w:p>
      <w:pPr>
        <w:spacing w:line="240" w:lineRule="auto" w:after="80"/>
        <w:jc w:val="center"/>
      </w:pPr>
      <w:r>
        <w:rPr>
          <w:i/>
          <w:sz w:val="20"/>
        </w:rPr>
        <w:t>Figure 8. NR vs. SBR, drawn by the authors: (a) NR (cis-1,4-polyisoprene), (b) SBR 1,4-butadiene unit, (c) SBR styrene unit; (d) at chain scale, stereoregular NR aligns into crystalline bundles under strain (SIC, X-ray confirmed) while SBR's irregular backbone stays amorphous — the basis of Table 5's "SIC &amp; tear resistance" row.</w:t>
      </w:r>
    </w:p>
    <w:p>
      <w:pPr>
        <w:spacing w:line="240" w:lineRule="auto" w:after="40"/>
      </w:pPr>
      <w:r>
        <w:rPr>
          <w:b/>
          <w:i w:val="0"/>
          <w:sz w:val="20"/>
        </w:rPr>
        <w:t>Table 5.</w:t>
      </w:r>
      <w:r>
        <w:rPr>
          <w:b w:val="0"/>
          <w:i w:val="0"/>
          <w:sz w:val="20"/>
        </w:rPr>
        <w:t xml:space="preserve"> NR vs. SBR — structurally favourable / formulation- or context-dependent / documented risk.</w:t>
      </w:r>
    </w:p>
    <w:tbl>
      <w:tblPr>
        <w:tblW w:type="auto" w:w="0"/>
        <w:jc w:val="center"/>
        <w:tblLayout w:type="fixed"/>
        <w:tblLook w:firstColumn="1" w:firstRow="1" w:lastColumn="0" w:lastRow="0" w:noHBand="0" w:noVBand="1" w:val="04A0"/>
        <w:tblLayout w:type="fixed"/>
      </w:tblPr>
      <w:tblGrid>
        <w:gridCol w:w="2497"/>
        <w:gridCol w:w="3166"/>
        <w:gridCol w:w="3263"/>
      </w:tblGrid>
      <w:tr>
        <w:tc>
          <w:tcPr>
            <w:tcW w:type="dxa" w:w="2497"/>
            <w:tcBorders>
              <w:top w:val="single" w:sz="8" w:space="0" w:color="000000"/>
              <w:bottom w:val="single" w:sz="8" w:space="0" w:color="000000"/>
            </w:tcBorders>
          </w:tcPr>
          <w:p>
            <w:pPr>
              <w:spacing w:after="10" w:before="10" w:line="240" w:lineRule="auto"/>
            </w:pPr>
            <w:r>
              <w:rPr>
                <w:rFonts w:ascii="Arial" w:hAnsi="Arial"/>
                <w:b/>
                <w:i w:val="0"/>
                <w:sz w:val="16"/>
              </w:rPr>
              <w:t>Dimension</w:t>
            </w:r>
          </w:p>
        </w:tc>
        <w:tc>
          <w:tcPr>
            <w:tcW w:type="dxa" w:w="3167"/>
            <w:tcBorders>
              <w:top w:val="single" w:sz="8" w:space="0" w:color="000000"/>
              <w:bottom w:val="single" w:sz="8" w:space="0" w:color="000000"/>
            </w:tcBorders>
          </w:tcPr>
          <w:p>
            <w:pPr>
              <w:spacing w:after="10" w:before="10" w:line="240" w:lineRule="auto"/>
            </w:pPr>
            <w:r>
              <w:rPr>
                <w:rFonts w:ascii="Arial" w:hAnsi="Arial"/>
                <w:b/>
                <w:i w:val="0"/>
                <w:sz w:val="16"/>
              </w:rPr>
              <w:t>Natural rubber (NR)</w:t>
            </w:r>
          </w:p>
        </w:tc>
        <w:tc>
          <w:tcPr>
            <w:tcW w:type="dxa" w:w="3264"/>
            <w:tcBorders>
              <w:top w:val="single" w:sz="8" w:space="0" w:color="000000"/>
              <w:bottom w:val="single" w:sz="8" w:space="0" w:color="000000"/>
            </w:tcBorders>
          </w:tcPr>
          <w:p>
            <w:pPr>
              <w:spacing w:after="10" w:before="10" w:line="240" w:lineRule="auto"/>
            </w:pPr>
            <w:r>
              <w:rPr>
                <w:rFonts w:ascii="Arial" w:hAnsi="Arial"/>
                <w:b/>
                <w:i w:val="0"/>
                <w:sz w:val="16"/>
              </w:rPr>
              <w:t>SBR</w:t>
            </w:r>
          </w:p>
        </w:tc>
      </w:tr>
      <w:tr>
        <w:tc>
          <w:tcPr>
            <w:tcW w:type="dxa" w:w="2497"/>
            <w:tcBorders>
              <w:top w:val="nil"/>
              <w:bottom w:val="nil"/>
            </w:tcBorders>
          </w:tcPr>
          <w:p>
            <w:pPr>
              <w:spacing w:after="10" w:before="10" w:line="240" w:lineRule="auto"/>
            </w:pPr>
            <w:r>
              <w:rPr>
                <w:rFonts w:ascii="Arial" w:hAnsi="Arial"/>
                <w:b w:val="0"/>
                <w:i w:val="0"/>
                <w:sz w:val="16"/>
              </w:rPr>
              <w:t>Structure / MW control</w:t>
            </w:r>
          </w:p>
        </w:tc>
        <w:tc>
          <w:tcPr>
            <w:tcW w:type="dxa" w:w="3167"/>
            <w:tcBorders>
              <w:top w:val="nil"/>
              <w:bottom w:val="nil"/>
            </w:tcBorders>
          </w:tcPr>
          <w:p>
            <w:pPr>
              <w:spacing w:after="10" w:before="10" w:line="240" w:lineRule="auto"/>
            </w:pPr>
            <w:r>
              <w:rPr>
                <w:rFonts w:ascii="Arial" w:hAnsi="Arial"/>
                <w:b w:val="0"/>
                <w:i w:val="0"/>
                <w:sz w:val="16"/>
              </w:rPr>
              <w:t>Extracted; varies by clone &amp; tree age [19]</w:t>
            </w:r>
          </w:p>
        </w:tc>
        <w:tc>
          <w:tcPr>
            <w:tcW w:type="dxa" w:w="3264"/>
            <w:tcBorders>
              <w:top w:val="nil"/>
              <w:bottom w:val="nil"/>
            </w:tcBorders>
          </w:tcPr>
          <w:p>
            <w:pPr>
              <w:spacing w:after="10" w:before="10" w:line="240" w:lineRule="auto"/>
            </w:pPr>
            <w:r>
              <w:rPr>
                <w:rFonts w:ascii="Arial" w:hAnsi="Arial"/>
                <w:b w:val="0"/>
                <w:i w:val="0"/>
                <w:sz w:val="16"/>
              </w:rPr>
              <w:t>Engineered by emulsion/solution copolymerisation [20,21]</w:t>
            </w:r>
          </w:p>
        </w:tc>
      </w:tr>
      <w:tr>
        <w:tc>
          <w:tcPr>
            <w:tcW w:type="dxa" w:w="2497"/>
            <w:tcBorders>
              <w:top w:val="nil"/>
              <w:bottom w:val="nil"/>
            </w:tcBorders>
          </w:tcPr>
          <w:p>
            <w:pPr>
              <w:spacing w:after="10" w:before="10" w:line="240" w:lineRule="auto"/>
            </w:pPr>
            <w:r>
              <w:rPr>
                <w:rFonts w:ascii="Arial" w:hAnsi="Arial"/>
                <w:b w:val="0"/>
                <w:i w:val="0"/>
                <w:sz w:val="16"/>
              </w:rPr>
              <w:t>SIC &amp; tear resistance</w:t>
            </w:r>
          </w:p>
        </w:tc>
        <w:tc>
          <w:tcPr>
            <w:tcW w:type="dxa" w:w="3167"/>
            <w:tcBorders>
              <w:top w:val="nil"/>
              <w:bottom w:val="nil"/>
            </w:tcBorders>
          </w:tcPr>
          <w:p>
            <w:pPr>
              <w:spacing w:after="10" w:before="10" w:line="240" w:lineRule="auto"/>
            </w:pPr>
            <w:r>
              <w:rPr>
                <w:rFonts w:ascii="Arial" w:hAnsi="Arial"/>
                <w:b w:val="0"/>
                <w:i w:val="0"/>
                <w:sz w:val="16"/>
              </w:rPr>
              <w:t>Favourable: strong strain-induced crystallisation [10,23]; weakens as SBR fraction rises in blends [22]</w:t>
            </w:r>
          </w:p>
        </w:tc>
        <w:tc>
          <w:tcPr>
            <w:tcW w:type="dxa" w:w="3264"/>
            <w:tcBorders>
              <w:top w:val="nil"/>
              <w:bottom w:val="nil"/>
            </w:tcBorders>
          </w:tcPr>
          <w:p>
            <w:pPr>
              <w:spacing w:after="10" w:before="10" w:line="240" w:lineRule="auto"/>
            </w:pPr>
            <w:r>
              <w:rPr>
                <w:rFonts w:ascii="Arial" w:hAnsi="Arial"/>
                <w:b w:val="0"/>
                <w:i w:val="0"/>
                <w:sz w:val="16"/>
              </w:rPr>
              <w:t>Crystallises far less; reaches parity via filler and cure design, not backbone [24–26]</w:t>
            </w:r>
          </w:p>
        </w:tc>
      </w:tr>
      <w:tr>
        <w:tc>
          <w:tcPr>
            <w:tcW w:type="dxa" w:w="2497"/>
            <w:tcBorders>
              <w:top w:val="nil"/>
              <w:bottom w:val="nil"/>
            </w:tcBorders>
          </w:tcPr>
          <w:p>
            <w:pPr>
              <w:spacing w:after="10" w:before="10" w:line="240" w:lineRule="auto"/>
            </w:pPr>
            <w:r>
              <w:rPr>
                <w:rFonts w:ascii="Arial" w:hAnsi="Arial"/>
                <w:b w:val="0"/>
                <w:i w:val="0"/>
                <w:sz w:val="16"/>
              </w:rPr>
              <w:t>Biocompatibility</w:t>
            </w:r>
          </w:p>
        </w:tc>
        <w:tc>
          <w:tcPr>
            <w:tcW w:type="dxa" w:w="3167"/>
            <w:tcBorders>
              <w:top w:val="nil"/>
              <w:bottom w:val="nil"/>
            </w:tcBorders>
          </w:tcPr>
          <w:p>
            <w:pPr>
              <w:spacing w:after="10" w:before="10" w:line="240" w:lineRule="auto"/>
            </w:pPr>
            <w:r>
              <w:rPr>
                <w:rFonts w:ascii="Arial" w:hAnsi="Arial"/>
                <w:b w:val="0"/>
                <w:i w:val="0"/>
                <w:sz w:val="16"/>
              </w:rPr>
              <w:t>Real potential, but latex-protein allergy risk [27,28]</w:t>
            </w:r>
          </w:p>
        </w:tc>
        <w:tc>
          <w:tcPr>
            <w:tcW w:type="dxa" w:w="3264"/>
            <w:tcBorders>
              <w:top w:val="nil"/>
              <w:bottom w:val="nil"/>
            </w:tcBorders>
          </w:tcPr>
          <w:p>
            <w:pPr>
              <w:spacing w:after="10" w:before="10" w:line="240" w:lineRule="auto"/>
            </w:pPr>
            <w:r>
              <w:rPr>
                <w:rFonts w:ascii="Arial" w:hAnsi="Arial"/>
                <w:b w:val="0"/>
                <w:i w:val="0"/>
                <w:sz w:val="16"/>
              </w:rPr>
              <w:t>No unconditional biocompatibility claim [27,28]</w:t>
            </w:r>
          </w:p>
        </w:tc>
      </w:tr>
      <w:tr>
        <w:tc>
          <w:tcPr>
            <w:tcW w:type="dxa" w:w="2497"/>
            <w:tcBorders>
              <w:top w:val="nil"/>
              <w:bottom w:val="nil"/>
            </w:tcBorders>
          </w:tcPr>
          <w:p>
            <w:pPr>
              <w:spacing w:after="10" w:before="10" w:line="240" w:lineRule="auto"/>
            </w:pPr>
            <w:r>
              <w:rPr>
                <w:rFonts w:ascii="Arial" w:hAnsi="Arial"/>
                <w:b w:val="0"/>
                <w:i w:val="0"/>
                <w:sz w:val="16"/>
              </w:rPr>
              <w:t>Environmental footprint</w:t>
            </w:r>
          </w:p>
        </w:tc>
        <w:tc>
          <w:tcPr>
            <w:tcW w:type="dxa" w:w="3167"/>
            <w:tcBorders>
              <w:top w:val="nil"/>
              <w:bottom w:val="nil"/>
            </w:tcBorders>
          </w:tcPr>
          <w:p>
            <w:pPr>
              <w:spacing w:after="10" w:before="10" w:line="240" w:lineRule="auto"/>
            </w:pPr>
            <w:r>
              <w:rPr>
                <w:rFonts w:ascii="Arial" w:hAnsi="Arial"/>
                <w:b w:val="0"/>
                <w:i w:val="0"/>
                <w:sz w:val="16"/>
              </w:rPr>
              <w:t>Renewable, but LCA shows real land/energy cost [29,30]</w:t>
            </w:r>
          </w:p>
        </w:tc>
        <w:tc>
          <w:tcPr>
            <w:tcW w:type="dxa" w:w="3264"/>
            <w:tcBorders>
              <w:top w:val="nil"/>
              <w:bottom w:val="nil"/>
            </w:tcBorders>
          </w:tcPr>
          <w:p>
            <w:pPr>
              <w:spacing w:after="10" w:before="10" w:line="240" w:lineRule="auto"/>
            </w:pPr>
            <w:r>
              <w:rPr>
                <w:rFonts w:ascii="Arial" w:hAnsi="Arial"/>
                <w:b w:val="0"/>
                <w:i w:val="0"/>
                <w:sz w:val="16"/>
              </w:rPr>
              <w:t>Fossil feedstock; biodegradable grades emerging [31]</w:t>
            </w:r>
          </w:p>
        </w:tc>
      </w:tr>
      <w:tr>
        <w:tc>
          <w:tcPr>
            <w:tcW w:type="dxa" w:w="2497"/>
            <w:tcBorders>
              <w:top w:val="nil"/>
              <w:bottom w:val="single" w:sz="8" w:space="0" w:color="000000"/>
            </w:tcBorders>
          </w:tcPr>
          <w:p>
            <w:pPr>
              <w:spacing w:after="10" w:before="10" w:line="240" w:lineRule="auto"/>
            </w:pPr>
            <w:r>
              <w:rPr>
                <w:rFonts w:ascii="Arial" w:hAnsi="Arial"/>
                <w:b w:val="0"/>
                <w:i w:val="0"/>
                <w:sz w:val="16"/>
              </w:rPr>
              <w:t>Price stability</w:t>
            </w:r>
          </w:p>
        </w:tc>
        <w:tc>
          <w:tcPr>
            <w:tcW w:type="dxa" w:w="3167"/>
            <w:tcBorders>
              <w:top w:val="nil"/>
              <w:bottom w:val="single" w:sz="8" w:space="0" w:color="000000"/>
            </w:tcBorders>
          </w:tcPr>
          <w:p>
            <w:pPr>
              <w:spacing w:after="10" w:before="10" w:line="240" w:lineRule="auto"/>
            </w:pPr>
            <w:r>
              <w:rPr>
                <w:rFonts w:ascii="Arial" w:hAnsi="Arial"/>
                <w:b w:val="0"/>
                <w:i w:val="0"/>
                <w:sz w:val="16"/>
              </w:rPr>
              <w:t>Historically the more volatile of the two [32]</w:t>
            </w:r>
          </w:p>
        </w:tc>
        <w:tc>
          <w:tcPr>
            <w:tcW w:type="dxa" w:w="3264"/>
            <w:tcBorders>
              <w:top w:val="nil"/>
              <w:bottom w:val="single" w:sz="8" w:space="0" w:color="000000"/>
            </w:tcBorders>
          </w:tcPr>
          <w:p>
            <w:pPr>
              <w:spacing w:after="10" w:before="10" w:line="240" w:lineRule="auto"/>
            </w:pPr>
            <w:r>
              <w:rPr>
                <w:rFonts w:ascii="Arial" w:hAnsi="Arial"/>
                <w:b w:val="0"/>
                <w:i w:val="0"/>
                <w:sz w:val="16"/>
              </w:rPr>
              <w:t>Steadier, but tied to the petrochemical supply chain [32]</w:t>
            </w:r>
          </w:p>
        </w:tc>
      </w:tr>
    </w:tbl>
    <w:p>
      <w:pPr>
        <w:spacing w:after="0" w:line="240" w:lineRule="auto"/>
      </w:pPr>
    </w:p>
    <w:p>
      <w:pPr>
        <w:jc w:val="both"/>
      </w:pPr>
      <w:r>
        <w:rPr>
          <w:b w:val="0"/>
          <w:i w:val="0"/>
        </w:rPr>
        <w:t>Under matched compounding, NR's SIC gives better tear and crack-growth resistance to start with [10,23], but SBR reaches comparable wear resistance through reinforcement and cure design [24] — the clearest case here of backbone chemistry trading off against formulation (§6). The "natural is better" story does not survive the literature, though: NR latex carries a real, SBR-absent allergy risk [27,28], its renewability does not automatically mean a lower LCA footprint [29,30], and NR pricing has historically been the more volatile of the two, for climate and disease reasons unrelated to polymer chemistry [32].</w:t>
      </w:r>
    </w:p>
    <w:p>
      <w:pPr>
        <w:pStyle w:val="Heading1"/>
      </w:pPr>
      <w:r>
        <w:t>8. Applications</w:t>
      </w:r>
    </w:p>
    <w:p>
      <w:pPr>
        <w:jc w:val="both"/>
      </w:pPr>
      <w:r>
        <w:rPr>
          <w:b w:val="0"/>
          <w:i w:val="0"/>
        </w:rPr>
        <w:t xml:space="preserve">Table 4 lists each application by the property it demands, then the material that meets it (§3 gave the per-material uses). Two patterns stand out. </w:t>
      </w:r>
      <w:r>
        <w:rPr>
          <w:b/>
          <w:i w:val="0"/>
        </w:rPr>
        <w:t>Packaging</w:t>
      </w:r>
      <w:r>
        <w:rPr>
          <w:b w:val="0"/>
          <w:i w:val="0"/>
        </w:rPr>
        <w:t xml:space="preserve"> needs O₂/H₂O barrier, toughness and heat resistance above PLA's HDT at once (§7.2); no single biopolymer gives all three (§5.3), so it is almost always multilayer or blended. </w:t>
      </w:r>
      <w:r>
        <w:rPr>
          <w:b/>
          <w:i w:val="0"/>
        </w:rPr>
        <w:t>Biomedical</w:t>
      </w:r>
      <w:r>
        <w:rPr>
          <w:b w:val="0"/>
          <w:i w:val="0"/>
        </w:rPr>
        <w:t xml:space="preserve"> use is the one space where biopolymers are close to unique — biocompatibility plus a tunable degradation rate (§5.4): PGA/PLGA sutures fail mainly by a local pH drop from their acidic hydrolysis products [52,53], and collagen/alginate/ chitosan extend the logic to scaffolds and bioprinting [55].</w:t>
      </w:r>
    </w:p>
    <w:p>
      <w:pPr>
        <w:spacing w:line="240" w:lineRule="auto" w:after="40"/>
      </w:pPr>
      <w:r>
        <w:rPr>
          <w:b/>
          <w:i w:val="0"/>
          <w:sz w:val="20"/>
        </w:rPr>
        <w:t>Table 4.</w:t>
      </w:r>
      <w:r>
        <w:rPr>
          <w:b w:val="0"/>
          <w:i w:val="0"/>
          <w:sz w:val="20"/>
        </w:rPr>
        <w:t xml:space="preserve"> Applications, required property, and material.</w:t>
      </w:r>
    </w:p>
    <w:tbl>
      <w:tblPr>
        <w:tblW w:type="auto" w:w="0"/>
        <w:jc w:val="center"/>
        <w:tblLayout w:type="fixed"/>
        <w:tblLook w:firstColumn="1" w:firstRow="1" w:lastColumn="0" w:lastRow="0" w:noHBand="0" w:noVBand="1" w:val="04A0"/>
        <w:tblLayout w:type="fixed"/>
      </w:tblPr>
      <w:tblGrid>
        <w:gridCol w:w="2384"/>
        <w:gridCol w:w="3822"/>
        <w:gridCol w:w="2721"/>
      </w:tblGrid>
      <w:tr>
        <w:tc>
          <w:tcPr>
            <w:tcW w:type="dxa" w:w="2384"/>
            <w:tcBorders>
              <w:top w:val="single" w:sz="8" w:space="0" w:color="000000"/>
              <w:bottom w:val="single" w:sz="8" w:space="0" w:color="000000"/>
            </w:tcBorders>
          </w:tcPr>
          <w:p>
            <w:pPr>
              <w:spacing w:after="10" w:before="10" w:line="240" w:lineRule="auto"/>
            </w:pPr>
            <w:r>
              <w:rPr>
                <w:rFonts w:ascii="Arial" w:hAnsi="Arial"/>
                <w:b/>
                <w:i w:val="0"/>
                <w:sz w:val="16"/>
              </w:rPr>
              <w:t>Application</w:t>
            </w:r>
          </w:p>
        </w:tc>
        <w:tc>
          <w:tcPr>
            <w:tcW w:type="dxa" w:w="3823"/>
            <w:tcBorders>
              <w:top w:val="single" w:sz="8" w:space="0" w:color="000000"/>
              <w:bottom w:val="single" w:sz="8" w:space="0" w:color="000000"/>
            </w:tcBorders>
          </w:tcPr>
          <w:p>
            <w:pPr>
              <w:spacing w:after="10" w:before="10" w:line="240" w:lineRule="auto"/>
            </w:pPr>
            <w:r>
              <w:rPr>
                <w:rFonts w:ascii="Arial" w:hAnsi="Arial"/>
                <w:b/>
                <w:i w:val="0"/>
                <w:sz w:val="16"/>
              </w:rPr>
              <w:t>Key property required</w:t>
            </w:r>
          </w:p>
        </w:tc>
        <w:tc>
          <w:tcPr>
            <w:tcW w:type="dxa" w:w="2721"/>
            <w:tcBorders>
              <w:top w:val="single" w:sz="8" w:space="0" w:color="000000"/>
              <w:bottom w:val="single" w:sz="8" w:space="0" w:color="000000"/>
            </w:tcBorders>
          </w:tcPr>
          <w:p>
            <w:pPr>
              <w:spacing w:after="10" w:before="10" w:line="240" w:lineRule="auto"/>
            </w:pPr>
            <w:r>
              <w:rPr>
                <w:rFonts w:ascii="Arial" w:hAnsi="Arial"/>
                <w:b/>
                <w:i w:val="0"/>
                <w:sz w:val="16"/>
              </w:rPr>
              <w:t>Representative material(s)</w:t>
            </w:r>
          </w:p>
        </w:tc>
      </w:tr>
      <w:tr>
        <w:tc>
          <w:tcPr>
            <w:tcW w:type="dxa" w:w="2384"/>
            <w:tcBorders>
              <w:top w:val="nil"/>
              <w:bottom w:val="nil"/>
            </w:tcBorders>
          </w:tcPr>
          <w:p>
            <w:pPr>
              <w:spacing w:after="10" w:before="10" w:line="240" w:lineRule="auto"/>
            </w:pPr>
            <w:r>
              <w:rPr>
                <w:rFonts w:ascii="Arial" w:hAnsi="Arial"/>
                <w:b w:val="0"/>
                <w:i w:val="0"/>
                <w:sz w:val="16"/>
              </w:rPr>
              <w:t>Food packaging</w:t>
            </w:r>
          </w:p>
        </w:tc>
        <w:tc>
          <w:tcPr>
            <w:tcW w:type="dxa" w:w="3823"/>
            <w:tcBorders>
              <w:top w:val="nil"/>
              <w:bottom w:val="nil"/>
            </w:tcBorders>
          </w:tcPr>
          <w:p>
            <w:pPr>
              <w:spacing w:after="10" w:before="10" w:line="240" w:lineRule="auto"/>
            </w:pPr>
            <w:r>
              <w:rPr>
                <w:rFonts w:ascii="Arial" w:hAnsi="Arial"/>
                <w:b w:val="0"/>
                <w:i w:val="0"/>
                <w:sz w:val="16"/>
              </w:rPr>
              <w:t>O₂/H₂O barrier + toughness + moderate heat resistance</w:t>
            </w:r>
          </w:p>
        </w:tc>
        <w:tc>
          <w:tcPr>
            <w:tcW w:type="dxa" w:w="2721"/>
            <w:tcBorders>
              <w:top w:val="nil"/>
              <w:bottom w:val="nil"/>
            </w:tcBorders>
          </w:tcPr>
          <w:p>
            <w:pPr>
              <w:spacing w:after="10" w:before="10" w:line="240" w:lineRule="auto"/>
            </w:pPr>
            <w:r>
              <w:rPr>
                <w:rFonts w:ascii="Arial" w:hAnsi="Arial"/>
                <w:b w:val="0"/>
                <w:i w:val="0"/>
                <w:sz w:val="16"/>
              </w:rPr>
              <w:t>PLA/PBAT blends; PHA/PLA coatings</w:t>
            </w:r>
          </w:p>
        </w:tc>
      </w:tr>
      <w:tr>
        <w:tc>
          <w:tcPr>
            <w:tcW w:type="dxa" w:w="2384"/>
            <w:tcBorders>
              <w:top w:val="nil"/>
              <w:bottom w:val="nil"/>
            </w:tcBorders>
          </w:tcPr>
          <w:p>
            <w:pPr>
              <w:spacing w:after="10" w:before="10" w:line="240" w:lineRule="auto"/>
            </w:pPr>
            <w:r>
              <w:rPr>
                <w:rFonts w:ascii="Arial" w:hAnsi="Arial"/>
                <w:b w:val="0"/>
                <w:i w:val="0"/>
                <w:sz w:val="16"/>
              </w:rPr>
              <w:t>Compostable foodware / mulch film</w:t>
            </w:r>
          </w:p>
        </w:tc>
        <w:tc>
          <w:tcPr>
            <w:tcW w:type="dxa" w:w="3823"/>
            <w:tcBorders>
              <w:top w:val="nil"/>
              <w:bottom w:val="nil"/>
            </w:tcBorders>
          </w:tcPr>
          <w:p>
            <w:pPr>
              <w:spacing w:after="10" w:before="10" w:line="240" w:lineRule="auto"/>
            </w:pPr>
            <w:r>
              <w:rPr>
                <w:rFonts w:ascii="Arial" w:hAnsi="Arial"/>
                <w:b w:val="0"/>
                <w:i w:val="0"/>
                <w:sz w:val="16"/>
              </w:rPr>
              <w:t>Biodegradability matched to use timescale, not barrier</w:t>
            </w:r>
          </w:p>
        </w:tc>
        <w:tc>
          <w:tcPr>
            <w:tcW w:type="dxa" w:w="2721"/>
            <w:tcBorders>
              <w:top w:val="nil"/>
              <w:bottom w:val="nil"/>
            </w:tcBorders>
          </w:tcPr>
          <w:p>
            <w:pPr>
              <w:spacing w:after="10" w:before="10" w:line="240" w:lineRule="auto"/>
            </w:pPr>
            <w:r>
              <w:rPr>
                <w:rFonts w:ascii="Arial" w:hAnsi="Arial"/>
                <w:b w:val="0"/>
                <w:i w:val="0"/>
                <w:sz w:val="16"/>
              </w:rPr>
              <w:t>PLA, starch blends, PBAT/PLA</w:t>
            </w:r>
          </w:p>
        </w:tc>
      </w:tr>
      <w:tr>
        <w:tc>
          <w:tcPr>
            <w:tcW w:type="dxa" w:w="2384"/>
            <w:tcBorders>
              <w:top w:val="nil"/>
              <w:bottom w:val="nil"/>
            </w:tcBorders>
          </w:tcPr>
          <w:p>
            <w:pPr>
              <w:spacing w:after="10" w:before="10" w:line="240" w:lineRule="auto"/>
            </w:pPr>
            <w:r>
              <w:rPr>
                <w:rFonts w:ascii="Arial" w:hAnsi="Arial"/>
                <w:b w:val="0"/>
                <w:i w:val="0"/>
                <w:sz w:val="16"/>
              </w:rPr>
              <w:t>Sutures / drug release / scaffolds</w:t>
            </w:r>
          </w:p>
        </w:tc>
        <w:tc>
          <w:tcPr>
            <w:tcW w:type="dxa" w:w="3823"/>
            <w:tcBorders>
              <w:top w:val="nil"/>
              <w:bottom w:val="nil"/>
            </w:tcBorders>
          </w:tcPr>
          <w:p>
            <w:pPr>
              <w:spacing w:after="10" w:before="10" w:line="240" w:lineRule="auto"/>
            </w:pPr>
            <w:r>
              <w:rPr>
                <w:rFonts w:ascii="Arial" w:hAnsi="Arial"/>
                <w:b w:val="0"/>
                <w:i w:val="0"/>
                <w:sz w:val="16"/>
              </w:rPr>
              <w:t>Biocompatibility + tunable degradation rate</w:t>
            </w:r>
          </w:p>
        </w:tc>
        <w:tc>
          <w:tcPr>
            <w:tcW w:type="dxa" w:w="2721"/>
            <w:tcBorders>
              <w:top w:val="nil"/>
              <w:bottom w:val="nil"/>
            </w:tcBorders>
          </w:tcPr>
          <w:p>
            <w:pPr>
              <w:spacing w:after="10" w:before="10" w:line="240" w:lineRule="auto"/>
            </w:pPr>
            <w:r>
              <w:rPr>
                <w:rFonts w:ascii="Arial" w:hAnsi="Arial"/>
                <w:b w:val="0"/>
                <w:i w:val="0"/>
                <w:sz w:val="16"/>
              </w:rPr>
              <w:t>PGA, PLGA, collagen, alginate, chitosan</w:t>
            </w:r>
          </w:p>
        </w:tc>
      </w:tr>
      <w:tr>
        <w:tc>
          <w:tcPr>
            <w:tcW w:type="dxa" w:w="2384"/>
            <w:tcBorders>
              <w:top w:val="nil"/>
              <w:bottom w:val="nil"/>
            </w:tcBorders>
          </w:tcPr>
          <w:p>
            <w:pPr>
              <w:spacing w:after="10" w:before="10" w:line="240" w:lineRule="auto"/>
            </w:pPr>
            <w:r>
              <w:rPr>
                <w:rFonts w:ascii="Arial" w:hAnsi="Arial"/>
                <w:b w:val="0"/>
                <w:i w:val="0"/>
                <w:sz w:val="16"/>
              </w:rPr>
              <w:t>Textile fibre / electronics substrate</w:t>
            </w:r>
          </w:p>
        </w:tc>
        <w:tc>
          <w:tcPr>
            <w:tcW w:type="dxa" w:w="3823"/>
            <w:tcBorders>
              <w:top w:val="nil"/>
              <w:bottom w:val="nil"/>
            </w:tcBorders>
          </w:tcPr>
          <w:p>
            <w:pPr>
              <w:spacing w:after="10" w:before="10" w:line="240" w:lineRule="auto"/>
            </w:pPr>
            <w:r>
              <w:rPr>
                <w:rFonts w:ascii="Arial" w:hAnsi="Arial"/>
                <w:b w:val="0"/>
                <w:i w:val="0"/>
                <w:sz w:val="16"/>
              </w:rPr>
              <w:t>High stiffness/spinnability or film formability</w:t>
            </w:r>
          </w:p>
        </w:tc>
        <w:tc>
          <w:tcPr>
            <w:tcW w:type="dxa" w:w="2721"/>
            <w:tcBorders>
              <w:top w:val="nil"/>
              <w:bottom w:val="nil"/>
            </w:tcBorders>
          </w:tcPr>
          <w:p>
            <w:pPr>
              <w:spacing w:after="10" w:before="10" w:line="240" w:lineRule="auto"/>
            </w:pPr>
            <w:r>
              <w:rPr>
                <w:rFonts w:ascii="Arial" w:hAnsi="Arial"/>
                <w:b w:val="0"/>
                <w:i w:val="0"/>
                <w:sz w:val="16"/>
              </w:rPr>
              <w:t>Lyocell, PLA fibre, PHA</w:t>
            </w:r>
          </w:p>
        </w:tc>
      </w:tr>
      <w:tr>
        <w:tc>
          <w:tcPr>
            <w:tcW w:type="dxa" w:w="2384"/>
            <w:tcBorders>
              <w:top w:val="nil"/>
              <w:bottom w:val="single" w:sz="8" w:space="0" w:color="000000"/>
            </w:tcBorders>
          </w:tcPr>
          <w:p>
            <w:pPr>
              <w:spacing w:after="10" w:before="10" w:line="240" w:lineRule="auto"/>
            </w:pPr>
            <w:r>
              <w:rPr>
                <w:rFonts w:ascii="Arial" w:hAnsi="Arial"/>
                <w:b w:val="0"/>
                <w:i w:val="0"/>
                <w:sz w:val="16"/>
              </w:rPr>
              <w:t>Tyre tread / damping / conveyor belting</w:t>
            </w:r>
          </w:p>
        </w:tc>
        <w:tc>
          <w:tcPr>
            <w:tcW w:type="dxa" w:w="3823"/>
            <w:tcBorders>
              <w:top w:val="nil"/>
              <w:bottom w:val="single" w:sz="8" w:space="0" w:color="000000"/>
            </w:tcBorders>
          </w:tcPr>
          <w:p>
            <w:pPr>
              <w:spacing w:after="10" w:before="10" w:line="240" w:lineRule="auto"/>
            </w:pPr>
            <w:r>
              <w:rPr>
                <w:rFonts w:ascii="Arial" w:hAnsi="Arial"/>
                <w:b w:val="0"/>
                <w:i w:val="0"/>
                <w:sz w:val="16"/>
              </w:rPr>
              <w:t>High tensile/tear strength via SIC, or engineered wear</w:t>
            </w:r>
          </w:p>
        </w:tc>
        <w:tc>
          <w:tcPr>
            <w:tcW w:type="dxa" w:w="2721"/>
            <w:tcBorders>
              <w:top w:val="nil"/>
              <w:bottom w:val="single" w:sz="8" w:space="0" w:color="000000"/>
            </w:tcBorders>
          </w:tcPr>
          <w:p>
            <w:pPr>
              <w:spacing w:after="10" w:before="10" w:line="240" w:lineRule="auto"/>
            </w:pPr>
            <w:r>
              <w:rPr>
                <w:rFonts w:ascii="Arial" w:hAnsi="Arial"/>
                <w:b w:val="0"/>
                <w:i w:val="0"/>
                <w:sz w:val="16"/>
              </w:rPr>
              <w:t>Natural rubber, NR/SBR blends (§7.3)</w:t>
            </w:r>
          </w:p>
        </w:tc>
      </w:tr>
    </w:tbl>
    <w:p>
      <w:pPr>
        <w:spacing w:after="0" w:line="240" w:lineRule="auto"/>
      </w:pPr>
    </w:p>
    <w:p>
      <w:pPr>
        <w:pStyle w:val="Heading1"/>
      </w:pPr>
      <w:r>
        <w:t>9. Current Status, Challenges and Outlook</w:t>
      </w:r>
    </w:p>
    <w:p>
      <w:pPr>
        <w:jc w:val="both"/>
      </w:pPr>
      <w:r>
        <w:rPr>
          <w:b w:val="0"/>
          <w:i w:val="0"/>
        </w:rPr>
        <w:t>Global bio-based plastics capacity was ~2.31 Mt in 2025 — under 1% of all plastics — and is projected to double by 2030, concentrated in bio-based PE/PP and PHA despite PHA being the priciest (§7.2) [16]. The bottlenecks are the three properties organising §5 — processing window, humidity dependence, batch variability — none solved by scale alone. Two directions look most promising: enzymatic depolymerisation to monomer (recent enzyme cocktails recovered ~60% of the lactic acid from post-consumer PLA in 72 h [17]); and ⚙️ data-driven property prediction (QSPR / polymer- informatics ML [56]) to shorten the backbone-chemistry-to-processing-window search.</w:t>
      </w:r>
    </w:p>
    <w:p>
      <w:pPr>
        <w:pStyle w:val="Heading1"/>
      </w:pPr>
      <w:r>
        <w:t>10. Conclusions</w:t>
      </w:r>
    </w:p>
    <w:p>
      <w:pPr>
        <w:jc w:val="both"/>
      </w:pPr>
      <w:r>
        <w:rPr>
          <w:b w:val="0"/>
          <w:i w:val="0"/>
        </w:rPr>
        <w:t>Three judgements follow. First, the performance ceiling is thermal and hygroscopic (§5.1, §5.3), not mechanical: most families meet or exceed synthetic-polymer stiffness and fail instead on processing window and moisture. Second, crystallinity governs the whole trade-off (§5.4) — it supplies stiffness, blocks water uptake and blocks degradative attack, so raising one lowers the other two; the NR/SBR case study (§7.3) reaches the same trade-off through formulation alone. Third, a molecular-weight figure means little without its measurement method (§4) — and the features that make MW hard to measure are the same ones that explain performance.</w:t>
      </w:r>
    </w:p>
    <w:p>
      <w:pPr>
        <w:pStyle w:val="Heading1"/>
      </w:pPr>
      <w:r>
        <w:t>References</w:t>
      </w:r>
    </w:p>
    <w:p>
      <w:pPr>
        <w:spacing w:line="240" w:lineRule="auto" w:after="80"/>
        <w:jc w:val="both"/>
      </w:pPr>
      <w:r>
        <w:rPr>
          <w:i/>
        </w:rPr>
        <w:t>56 entries; every DOI checked against Crossref. References, tables of contents and appendices do not count toward the 10-page body limit.</w:t>
      </w:r>
    </w:p>
    <w:p>
      <w:pPr>
        <w:spacing w:line="240" w:lineRule="auto" w:after="80"/>
        <w:jc w:val="both"/>
      </w:pPr>
      <w:r>
        <w:rPr>
          <w:b w:val="0"/>
          <w:i w:val="0"/>
        </w:rPr>
        <w:t xml:space="preserve">1. Vert, M.; Doi, Y.; Hellwich, K.-H.; Hess, M.; Hodge, P.; Kubisa, P.; Rinaudo, M.; Schué, F. Terminology for biorelated polymers and applications (IUPAC Recommendations 2012). </w:t>
      </w:r>
      <w:r>
        <w:rPr>
          <w:i/>
        </w:rPr>
        <w:t>Pure Appl. Chem.</w:t>
      </w:r>
      <w:r>
        <w:rPr>
          <w:b w:val="0"/>
          <w:i w:val="0"/>
        </w:rPr>
        <w:t xml:space="preserve"> </w:t>
      </w:r>
      <w:r>
        <w:rPr>
          <w:b/>
          <w:i w:val="0"/>
        </w:rPr>
        <w:t>2012</w:t>
      </w:r>
      <w:r>
        <w:rPr>
          <w:b w:val="0"/>
          <w:i w:val="0"/>
        </w:rPr>
        <w:t xml:space="preserve">, </w:t>
      </w:r>
      <w:r>
        <w:rPr>
          <w:i/>
        </w:rPr>
        <w:t>84</w:t>
      </w:r>
      <w:r>
        <w:rPr>
          <w:b w:val="0"/>
          <w:i w:val="0"/>
        </w:rPr>
        <w:t>, 377–410. DOI: 10.1351/PAC-REC-10-12-04.</w:t>
      </w:r>
    </w:p>
    <w:p>
      <w:pPr>
        <w:spacing w:line="240" w:lineRule="auto" w:after="80"/>
        <w:jc w:val="both"/>
      </w:pPr>
      <w:r>
        <w:rPr>
          <w:b w:val="0"/>
          <w:i w:val="0"/>
        </w:rPr>
        <w:t xml:space="preserve">2. Rostamabadi, H.; Bist, Y.; Kumar, Y.; Yildirim-Yalcin, M.; Ceyhan, T.; Falsafi, S. R. Cellulose nanofibers, nanocrystals, and bacterial nanocellulose: Fabrication, characterization, and their most recent applications. </w:t>
      </w:r>
      <w:r>
        <w:rPr>
          <w:i/>
        </w:rPr>
        <w:t>Future Postharvest Food</w:t>
      </w:r>
      <w:r>
        <w:rPr>
          <w:b w:val="0"/>
          <w:i w:val="0"/>
        </w:rPr>
        <w:t xml:space="preserve"> </w:t>
      </w:r>
      <w:r>
        <w:rPr>
          <w:b/>
          <w:i w:val="0"/>
        </w:rPr>
        <w:t>2024</w:t>
      </w:r>
      <w:r>
        <w:rPr>
          <w:b w:val="0"/>
          <w:i w:val="0"/>
        </w:rPr>
        <w:t xml:space="preserve">, </w:t>
      </w:r>
      <w:r>
        <w:rPr>
          <w:i/>
        </w:rPr>
        <w:t>1</w:t>
      </w:r>
      <w:r>
        <w:rPr>
          <w:b w:val="0"/>
          <w:i w:val="0"/>
        </w:rPr>
        <w:t>, 5–33. DOI: 10.1002/fpf2.12001.</w:t>
      </w:r>
    </w:p>
    <w:p>
      <w:pPr>
        <w:spacing w:line="240" w:lineRule="auto" w:after="80"/>
        <w:jc w:val="both"/>
      </w:pPr>
      <w:r>
        <w:rPr>
          <w:b w:val="0"/>
          <w:i w:val="0"/>
        </w:rPr>
        <w:t xml:space="preserve">3. Hwang, K. T.; Jung, S. T.; Lee, G. D.; Chinnan, M. S.; Park, Y. S.; Park, H. J. Controlling molecular weight and degree of deacetylation of chitosan by response surface methodology. </w:t>
      </w:r>
      <w:r>
        <w:rPr>
          <w:i/>
        </w:rPr>
        <w:t>J. Agric. Food Chem.</w:t>
      </w:r>
      <w:r>
        <w:rPr>
          <w:b w:val="0"/>
          <w:i w:val="0"/>
        </w:rPr>
        <w:t xml:space="preserve"> </w:t>
      </w:r>
      <w:r>
        <w:rPr>
          <w:b/>
          <w:i w:val="0"/>
        </w:rPr>
        <w:t>2002</w:t>
      </w:r>
      <w:r>
        <w:rPr>
          <w:b w:val="0"/>
          <w:i w:val="0"/>
        </w:rPr>
        <w:t xml:space="preserve">, </w:t>
      </w:r>
      <w:r>
        <w:rPr>
          <w:i/>
        </w:rPr>
        <w:t>50</w:t>
      </w:r>
      <w:r>
        <w:rPr>
          <w:b w:val="0"/>
          <w:i w:val="0"/>
        </w:rPr>
        <w:t>, 1876–1882. DOI: 10.1021/jf011167u.</w:t>
      </w:r>
    </w:p>
    <w:p>
      <w:pPr>
        <w:spacing w:line="240" w:lineRule="auto" w:after="80"/>
        <w:jc w:val="both"/>
      </w:pPr>
      <w:r>
        <w:rPr>
          <w:b w:val="0"/>
          <w:i w:val="0"/>
        </w:rPr>
        <w:t xml:space="preserve">4. Cao, L.; Lu, W.; Mata, A.; Nishinari, K.; Fang, Y. Egg-box model-based gelation of alginate and pectin: A review. </w:t>
      </w:r>
      <w:r>
        <w:rPr>
          <w:i/>
        </w:rPr>
        <w:t>Carbohydr. Polym.</w:t>
      </w:r>
      <w:r>
        <w:rPr>
          <w:b w:val="0"/>
          <w:i w:val="0"/>
        </w:rPr>
        <w:t xml:space="preserve"> </w:t>
      </w:r>
      <w:r>
        <w:rPr>
          <w:b/>
          <w:i w:val="0"/>
        </w:rPr>
        <w:t>2020</w:t>
      </w:r>
      <w:r>
        <w:rPr>
          <w:b w:val="0"/>
          <w:i w:val="0"/>
        </w:rPr>
        <w:t xml:space="preserve">, </w:t>
      </w:r>
      <w:r>
        <w:rPr>
          <w:i/>
        </w:rPr>
        <w:t>242</w:t>
      </w:r>
      <w:r>
        <w:rPr>
          <w:b w:val="0"/>
          <w:i w:val="0"/>
        </w:rPr>
        <w:t>, 116389. DOI: 10.1016/j.carbpol.2020.116389.</w:t>
      </w:r>
    </w:p>
    <w:p>
      <w:pPr>
        <w:spacing w:line="240" w:lineRule="auto" w:after="80"/>
        <w:jc w:val="both"/>
      </w:pPr>
      <w:r>
        <w:rPr>
          <w:b w:val="0"/>
          <w:i w:val="0"/>
        </w:rPr>
        <w:t xml:space="preserve">5. Ariffin, H.; Nishida, H.; Shirai, Y.; Hassan, M. A. Determination of multiple thermal degradation mechanisms of poly(3-hydroxybutyrate). </w:t>
      </w:r>
      <w:r>
        <w:rPr>
          <w:i/>
        </w:rPr>
        <w:t>Polym. Degrad. Stab.</w:t>
      </w:r>
      <w:r>
        <w:rPr>
          <w:b w:val="0"/>
          <w:i w:val="0"/>
        </w:rPr>
        <w:t xml:space="preserve"> </w:t>
      </w:r>
      <w:r>
        <w:rPr>
          <w:b/>
          <w:i w:val="0"/>
        </w:rPr>
        <w:t>2008</w:t>
      </w:r>
      <w:r>
        <w:rPr>
          <w:b w:val="0"/>
          <w:i w:val="0"/>
        </w:rPr>
        <w:t xml:space="preserve">, </w:t>
      </w:r>
      <w:r>
        <w:rPr>
          <w:i/>
        </w:rPr>
        <w:t>93</w:t>
      </w:r>
      <w:r>
        <w:rPr>
          <w:b w:val="0"/>
          <w:i w:val="0"/>
        </w:rPr>
        <w:t>, 1433–1439. DOI: 10.1016/j.polymdegradstab.2008.05.020.</w:t>
      </w:r>
    </w:p>
    <w:p>
      <w:pPr>
        <w:spacing w:line="240" w:lineRule="auto" w:after="80"/>
        <w:jc w:val="both"/>
      </w:pPr>
      <w:r>
        <w:rPr>
          <w:b w:val="0"/>
          <w:i w:val="0"/>
        </w:rPr>
        <w:t xml:space="preserve">6. Tsuji, H. Poly(lactide) stereocomplexes: formation, structure, properties, degradation, and applications. </w:t>
      </w:r>
      <w:r>
        <w:rPr>
          <w:i/>
        </w:rPr>
        <w:t>Macromol. Biosci.</w:t>
      </w:r>
      <w:r>
        <w:rPr>
          <w:b w:val="0"/>
          <w:i w:val="0"/>
        </w:rPr>
        <w:t xml:space="preserve"> </w:t>
      </w:r>
      <w:r>
        <w:rPr>
          <w:b/>
          <w:i w:val="0"/>
        </w:rPr>
        <w:t>2005</w:t>
      </w:r>
      <w:r>
        <w:rPr>
          <w:b w:val="0"/>
          <w:i w:val="0"/>
        </w:rPr>
        <w:t xml:space="preserve">, </w:t>
      </w:r>
      <w:r>
        <w:rPr>
          <w:i/>
        </w:rPr>
        <w:t>5</w:t>
      </w:r>
      <w:r>
        <w:rPr>
          <w:b w:val="0"/>
          <w:i w:val="0"/>
        </w:rPr>
        <w:t>, 569–597. DOI: 10.1002/mabi.200500062.</w:t>
      </w:r>
    </w:p>
    <w:p>
      <w:pPr>
        <w:spacing w:line="240" w:lineRule="auto" w:after="80"/>
        <w:jc w:val="both"/>
      </w:pPr>
      <w:r>
        <w:rPr>
          <w:b w:val="0"/>
          <w:i w:val="0"/>
        </w:rPr>
        <w:t xml:space="preserve">7. Luo, F.; Fortenberry, A.; Ren, J.; Qiang, Z. Recent progress in enhancing poly(lactic acid) stereocomplex formation for material property improvement. </w:t>
      </w:r>
      <w:r>
        <w:rPr>
          <w:i/>
        </w:rPr>
        <w:t>Front. Chem.</w:t>
      </w:r>
      <w:r>
        <w:rPr>
          <w:b w:val="0"/>
          <w:i w:val="0"/>
        </w:rPr>
        <w:t xml:space="preserve"> </w:t>
      </w:r>
      <w:r>
        <w:rPr>
          <w:b/>
          <w:i w:val="0"/>
        </w:rPr>
        <w:t>2020</w:t>
      </w:r>
      <w:r>
        <w:rPr>
          <w:b w:val="0"/>
          <w:i w:val="0"/>
        </w:rPr>
        <w:t xml:space="preserve">, </w:t>
      </w:r>
      <w:r>
        <w:rPr>
          <w:i/>
        </w:rPr>
        <w:t>8</w:t>
      </w:r>
      <w:r>
        <w:rPr>
          <w:b w:val="0"/>
          <w:i w:val="0"/>
        </w:rPr>
        <w:t>, 688. DOI: 10.3389/fchem.2020.00688.</w:t>
      </w:r>
    </w:p>
    <w:p>
      <w:pPr>
        <w:spacing w:line="240" w:lineRule="auto" w:after="80"/>
        <w:jc w:val="both"/>
      </w:pPr>
      <w:r>
        <w:rPr>
          <w:b w:val="0"/>
          <w:i w:val="0"/>
        </w:rPr>
        <w:t xml:space="preserve">8. Keten, S.; Xu, Z.; Ihle, B.; Buehler, M. J. Nanoconfinement controls stiffness, strength and mechanical toughness of β-sheet crystals in silk. </w:t>
      </w:r>
      <w:r>
        <w:rPr>
          <w:i/>
        </w:rPr>
        <w:t>Nat. Mater.</w:t>
      </w:r>
      <w:r>
        <w:rPr>
          <w:b w:val="0"/>
          <w:i w:val="0"/>
        </w:rPr>
        <w:t xml:space="preserve"> </w:t>
      </w:r>
      <w:r>
        <w:rPr>
          <w:b/>
          <w:i w:val="0"/>
        </w:rPr>
        <w:t>2010</w:t>
      </w:r>
      <w:r>
        <w:rPr>
          <w:b w:val="0"/>
          <w:i w:val="0"/>
        </w:rPr>
        <w:t xml:space="preserve">, </w:t>
      </w:r>
      <w:r>
        <w:rPr>
          <w:i/>
        </w:rPr>
        <w:t>9</w:t>
      </w:r>
      <w:r>
        <w:rPr>
          <w:b w:val="0"/>
          <w:i w:val="0"/>
        </w:rPr>
        <w:t>, 359–367. DOI: 10.1038/nmat2704.</w:t>
      </w:r>
    </w:p>
    <w:p>
      <w:pPr>
        <w:spacing w:line="240" w:lineRule="auto" w:after="80"/>
        <w:jc w:val="both"/>
      </w:pPr>
      <w:r>
        <w:rPr>
          <w:b w:val="0"/>
          <w:i w:val="0"/>
        </w:rPr>
        <w:t xml:space="preserve">9. Odili, C. C.; Ajibola, A. M.; Sojobi, J. W.; et al. Chemistry of lignin. In </w:t>
      </w:r>
      <w:r>
        <w:rPr>
          <w:i/>
        </w:rPr>
        <w:t>Lignin Renewable Materials — Chemistry, Trends, Technology and Application</w:t>
      </w:r>
      <w:r>
        <w:rPr>
          <w:b w:val="0"/>
          <w:i w:val="0"/>
        </w:rPr>
        <w:t>; Ngo, T.-D., Ahvazi, B., Eds.; IntechOpen, 2025. DOI: 10.5772/intechopen.1013010.</w:t>
      </w:r>
    </w:p>
    <w:p>
      <w:pPr>
        <w:spacing w:line="240" w:lineRule="auto" w:after="80"/>
        <w:jc w:val="both"/>
      </w:pPr>
      <w:r>
        <w:rPr>
          <w:b w:val="0"/>
          <w:i w:val="0"/>
        </w:rPr>
        <w:t xml:space="preserve">10. Huneau, B. Strain-induced crystallization of natural rubber: a review of X-ray diffraction investigations. </w:t>
      </w:r>
      <w:r>
        <w:rPr>
          <w:i/>
        </w:rPr>
        <w:t>Rubber Chem. Technol.</w:t>
      </w:r>
      <w:r>
        <w:rPr>
          <w:b w:val="0"/>
          <w:i w:val="0"/>
        </w:rPr>
        <w:t xml:space="preserve"> </w:t>
      </w:r>
      <w:r>
        <w:rPr>
          <w:b/>
          <w:i w:val="0"/>
        </w:rPr>
        <w:t>2011</w:t>
      </w:r>
      <w:r>
        <w:rPr>
          <w:b w:val="0"/>
          <w:i w:val="0"/>
        </w:rPr>
        <w:t xml:space="preserve">, </w:t>
      </w:r>
      <w:r>
        <w:rPr>
          <w:i/>
        </w:rPr>
        <w:t>84</w:t>
      </w:r>
      <w:r>
        <w:rPr>
          <w:b w:val="0"/>
          <w:i w:val="0"/>
        </w:rPr>
        <w:t>, 425–452. DOI: 10.5254/1.3601131.</w:t>
      </w:r>
    </w:p>
    <w:p>
      <w:pPr>
        <w:spacing w:line="240" w:lineRule="auto" w:after="80"/>
        <w:jc w:val="both"/>
      </w:pPr>
      <w:r>
        <w:rPr>
          <w:b w:val="0"/>
          <w:i w:val="0"/>
        </w:rPr>
        <w:t xml:space="preserve">11. de Beukelaer, H.; Hilhorst, M.; Workala, Y.; Maaskant, E.; Post, W. Overview of the mechanical, thermal and barrier properties of biobased and/or biodegradable thermoplastic materials. </w:t>
      </w:r>
      <w:r>
        <w:rPr>
          <w:i/>
        </w:rPr>
        <w:t>Polym. Test.</w:t>
      </w:r>
      <w:r>
        <w:rPr>
          <w:b w:val="0"/>
          <w:i w:val="0"/>
        </w:rPr>
        <w:t xml:space="preserve"> </w:t>
      </w:r>
      <w:r>
        <w:rPr>
          <w:b/>
          <w:i w:val="0"/>
        </w:rPr>
        <w:t>2022</w:t>
      </w:r>
      <w:r>
        <w:rPr>
          <w:b w:val="0"/>
          <w:i w:val="0"/>
        </w:rPr>
        <w:t xml:space="preserve">, </w:t>
      </w:r>
      <w:r>
        <w:rPr>
          <w:i/>
        </w:rPr>
        <w:t>116</w:t>
      </w:r>
      <w:r>
        <w:rPr>
          <w:b w:val="0"/>
          <w:i w:val="0"/>
        </w:rPr>
        <w:t>, 107803. DOI: 10.1016/j.polymertesting.2022.107803.</w:t>
      </w:r>
    </w:p>
    <w:p>
      <w:pPr>
        <w:spacing w:line="240" w:lineRule="auto" w:after="80"/>
        <w:jc w:val="both"/>
      </w:pPr>
      <w:r>
        <w:rPr>
          <w:b w:val="0"/>
          <w:i w:val="0"/>
        </w:rPr>
        <w:t xml:space="preserve">12. Aliotta, L.; Seggiani, M.; Lazzeri, A.; Gigante, V.; Cinelli, P. A brief review of poly(butylene succinate) (PBS) and its main copolymers: synthesis, blends, composites, biodegradability, and applications. </w:t>
      </w:r>
      <w:r>
        <w:rPr>
          <w:i/>
        </w:rPr>
        <w:t>Polymers</w:t>
      </w:r>
      <w:r>
        <w:rPr>
          <w:b w:val="0"/>
          <w:i w:val="0"/>
        </w:rPr>
        <w:t xml:space="preserve"> </w:t>
      </w:r>
      <w:r>
        <w:rPr>
          <w:b/>
          <w:i w:val="0"/>
        </w:rPr>
        <w:t>2022</w:t>
      </w:r>
      <w:r>
        <w:rPr>
          <w:b w:val="0"/>
          <w:i w:val="0"/>
        </w:rPr>
        <w:t xml:space="preserve">, </w:t>
      </w:r>
      <w:r>
        <w:rPr>
          <w:i/>
        </w:rPr>
        <w:t>14</w:t>
      </w:r>
      <w:r>
        <w:rPr>
          <w:b w:val="0"/>
          <w:i w:val="0"/>
        </w:rPr>
        <w:t>, 844. DOI: 10.3390/polym14040844.</w:t>
      </w:r>
    </w:p>
    <w:p>
      <w:pPr>
        <w:spacing w:line="240" w:lineRule="auto" w:after="80"/>
        <w:jc w:val="both"/>
      </w:pPr>
      <w:r>
        <w:rPr>
          <w:b w:val="0"/>
          <w:i w:val="0"/>
        </w:rPr>
        <w:t xml:space="preserve">13. Zhao, X.; Liu, J.; Li, J.; Liang, X.; Zhou, W.; Peng, S. Strategies and techniques for improving heat resistance and mechanical performances of poly(lactic acid) (PLA) biodegradable materials. </w:t>
      </w:r>
      <w:r>
        <w:rPr>
          <w:i/>
        </w:rPr>
        <w:t>Int. J. Biol. Macromol.</w:t>
      </w:r>
      <w:r>
        <w:rPr>
          <w:b w:val="0"/>
          <w:i w:val="0"/>
        </w:rPr>
        <w:t xml:space="preserve"> </w:t>
      </w:r>
      <w:r>
        <w:rPr>
          <w:b/>
          <w:i w:val="0"/>
        </w:rPr>
        <w:t>2022</w:t>
      </w:r>
      <w:r>
        <w:rPr>
          <w:b w:val="0"/>
          <w:i w:val="0"/>
        </w:rPr>
        <w:t xml:space="preserve">, </w:t>
      </w:r>
      <w:r>
        <w:rPr>
          <w:i/>
        </w:rPr>
        <w:t>218</w:t>
      </w:r>
      <w:r>
        <w:rPr>
          <w:b w:val="0"/>
          <w:i w:val="0"/>
        </w:rPr>
        <w:t>, 115–134. DOI: 10.1016/j.ijbiomac.2022.07.091.</w:t>
      </w:r>
    </w:p>
    <w:p>
      <w:pPr>
        <w:spacing w:line="240" w:lineRule="auto" w:after="80"/>
        <w:jc w:val="both"/>
      </w:pPr>
      <w:r>
        <w:rPr>
          <w:b w:val="0"/>
          <w:i w:val="0"/>
        </w:rPr>
        <w:t xml:space="preserve">14. McCurdy, C.; Dixion, D.; Archer, E.; Dooher, T.; Edwards, I. A comparison of the sealing, forming and moisture vapour transmission properties of polylactic acid (PLA), polyethene (PE) and polyethylene terephthalate (PET) coated boards for packaging applications. </w:t>
      </w:r>
      <w:r>
        <w:rPr>
          <w:i/>
        </w:rPr>
        <w:t>J. Packag. Technol. Res.</w:t>
      </w:r>
      <w:r>
        <w:rPr>
          <w:b w:val="0"/>
          <w:i w:val="0"/>
        </w:rPr>
        <w:t xml:space="preserve"> </w:t>
      </w:r>
      <w:r>
        <w:rPr>
          <w:b/>
          <w:i w:val="0"/>
        </w:rPr>
        <w:t>2022</w:t>
      </w:r>
      <w:r>
        <w:rPr>
          <w:b w:val="0"/>
          <w:i w:val="0"/>
        </w:rPr>
        <w:t xml:space="preserve">, </w:t>
      </w:r>
      <w:r>
        <w:rPr>
          <w:i/>
        </w:rPr>
        <w:t>6</w:t>
      </w:r>
      <w:r>
        <w:rPr>
          <w:b w:val="0"/>
          <w:i w:val="0"/>
        </w:rPr>
        <w:t>, 91–100. DOI: 10.1007/s41783-022-00131-w.</w:t>
      </w:r>
    </w:p>
    <w:p>
      <w:pPr>
        <w:spacing w:line="240" w:lineRule="auto" w:after="80"/>
        <w:jc w:val="both"/>
      </w:pPr>
      <w:r>
        <w:rPr>
          <w:b w:val="0"/>
          <w:i w:val="0"/>
        </w:rPr>
        <w:t xml:space="preserve">15. Thoden van Velzen, E. U.; Chu, S.; Molenveld, K.; Jašo, V. Effect of poly lactic acid trays on the optical and thermal properties of recycled poly(ethylene terephthalate). </w:t>
      </w:r>
      <w:r>
        <w:rPr>
          <w:i/>
        </w:rPr>
        <w:t>Packag. Technol. Sci.</w:t>
      </w:r>
      <w:r>
        <w:rPr>
          <w:b w:val="0"/>
          <w:i w:val="0"/>
        </w:rPr>
        <w:t xml:space="preserve"> </w:t>
      </w:r>
      <w:r>
        <w:rPr>
          <w:b/>
          <w:i w:val="0"/>
        </w:rPr>
        <w:t>2022</w:t>
      </w:r>
      <w:r>
        <w:rPr>
          <w:b w:val="0"/>
          <w:i w:val="0"/>
        </w:rPr>
        <w:t xml:space="preserve">, </w:t>
      </w:r>
      <w:r>
        <w:rPr>
          <w:i/>
        </w:rPr>
        <w:t>35</w:t>
      </w:r>
      <w:r>
        <w:rPr>
          <w:b w:val="0"/>
          <w:i w:val="0"/>
        </w:rPr>
        <w:t>, 351–360. DOI: 10.1002/pts.2633.</w:t>
      </w:r>
    </w:p>
    <w:p>
      <w:pPr>
        <w:spacing w:line="240" w:lineRule="auto" w:after="80"/>
        <w:jc w:val="both"/>
      </w:pPr>
      <w:r>
        <w:rPr>
          <w:b w:val="0"/>
          <w:i w:val="0"/>
        </w:rPr>
        <w:t xml:space="preserve">16. European Bioplastics; nova-Institute. </w:t>
      </w:r>
      <w:r>
        <w:rPr>
          <w:i/>
        </w:rPr>
        <w:t>Bioplastics Market Development Update 2025</w:t>
      </w:r>
      <w:r>
        <w:rPr>
          <w:b w:val="0"/>
          <w:i w:val="0"/>
        </w:rPr>
        <w:t>; European Bioplastics e.V.: Berlin, December 2025. Available at: docs.european-bioplastics.org/publications/market_data/2025/EUBP_Market_Data_Report_2025.pdf</w:t>
      </w:r>
    </w:p>
    <w:p>
      <w:pPr>
        <w:spacing w:line="240" w:lineRule="auto" w:after="80"/>
        <w:jc w:val="both"/>
      </w:pPr>
      <w:r>
        <w:rPr>
          <w:b w:val="0"/>
          <w:i w:val="0"/>
        </w:rPr>
        <w:t xml:space="preserve">17. Salini, A.; Gonnelli, P. M.; Padoan, C.; Helali, Y.; Waeytens, J.; Fusco, S.; Cannella, D. Repurposing commercial hydrolytic and oxidative enzymes toward synergistic PLA depolymerization. </w:t>
      </w:r>
      <w:r>
        <w:rPr>
          <w:i/>
        </w:rPr>
        <w:t>ACS Sustain. Chem. Eng.</w:t>
      </w:r>
      <w:r>
        <w:rPr>
          <w:b w:val="0"/>
          <w:i w:val="0"/>
        </w:rPr>
        <w:t xml:space="preserve"> </w:t>
      </w:r>
      <w:r>
        <w:rPr>
          <w:b/>
          <w:i w:val="0"/>
        </w:rPr>
        <w:t>2025</w:t>
      </w:r>
      <w:r>
        <w:rPr>
          <w:b w:val="0"/>
          <w:i w:val="0"/>
        </w:rPr>
        <w:t xml:space="preserve">, </w:t>
      </w:r>
      <w:r>
        <w:rPr>
          <w:i/>
        </w:rPr>
        <w:t>13</w:t>
      </w:r>
      <w:r>
        <w:rPr>
          <w:b w:val="0"/>
          <w:i w:val="0"/>
        </w:rPr>
        <w:t>, 20705–20716. DOI: 10.1021/acssuschemeng.5c06901.</w:t>
      </w:r>
    </w:p>
    <w:p>
      <w:pPr>
        <w:spacing w:line="240" w:lineRule="auto" w:after="80"/>
        <w:jc w:val="both"/>
      </w:pPr>
      <w:r>
        <w:rPr>
          <w:b w:val="0"/>
          <w:i w:val="0"/>
        </w:rPr>
        <w:t xml:space="preserve">18. Huang, S.-Q.; et al. Revealing the structure-property difference of natural rubber prepared by different methods: protein and gel content are key factors. </w:t>
      </w:r>
      <w:r>
        <w:rPr>
          <w:i/>
        </w:rPr>
        <w:t>Chin. J. Polym. Sci.</w:t>
      </w:r>
      <w:r>
        <w:rPr>
          <w:b w:val="0"/>
          <w:i w:val="0"/>
        </w:rPr>
        <w:t xml:space="preserve"> </w:t>
      </w:r>
      <w:r>
        <w:rPr>
          <w:b/>
          <w:i w:val="0"/>
        </w:rPr>
        <w:t>2024</w:t>
      </w:r>
      <w:r>
        <w:rPr>
          <w:b w:val="0"/>
          <w:i w:val="0"/>
        </w:rPr>
        <w:t xml:space="preserve">, </w:t>
      </w:r>
      <w:r>
        <w:rPr>
          <w:i/>
        </w:rPr>
        <w:t>42</w:t>
      </w:r>
      <w:r>
        <w:rPr>
          <w:b w:val="0"/>
          <w:i w:val="0"/>
        </w:rPr>
        <w:t>, 457–467. DOI: 10.1007/s10118-024-3071-2.</w:t>
      </w:r>
    </w:p>
    <w:p>
      <w:pPr>
        <w:spacing w:line="240" w:lineRule="auto" w:after="80"/>
        <w:jc w:val="both"/>
      </w:pPr>
      <w:r>
        <w:rPr>
          <w:b w:val="0"/>
          <w:i w:val="0"/>
        </w:rPr>
        <w:t xml:space="preserve">19. Xin, S.; et al. Comparative analysis of latex transcriptomes reveals the potential mechanisms underlying rubber molecular weight variations between </w:t>
      </w:r>
      <w:r>
        <w:rPr>
          <w:i/>
        </w:rPr>
        <w:t>Hevea brasiliensis</w:t>
      </w:r>
      <w:r>
        <w:rPr>
          <w:b w:val="0"/>
          <w:i w:val="0"/>
        </w:rPr>
        <w:t xml:space="preserve"> clones RRIM600 and Reyan7-33-97. </w:t>
      </w:r>
      <w:r>
        <w:rPr>
          <w:i/>
        </w:rPr>
        <w:t>BMC Plant Biol.</w:t>
      </w:r>
      <w:r>
        <w:rPr>
          <w:b w:val="0"/>
          <w:i w:val="0"/>
        </w:rPr>
        <w:t xml:space="preserve"> </w:t>
      </w:r>
      <w:r>
        <w:rPr>
          <w:b/>
          <w:i w:val="0"/>
        </w:rPr>
        <w:t>2021</w:t>
      </w:r>
      <w:r>
        <w:rPr>
          <w:b w:val="0"/>
          <w:i w:val="0"/>
        </w:rPr>
        <w:t xml:space="preserve">, </w:t>
      </w:r>
      <w:r>
        <w:rPr>
          <w:i/>
        </w:rPr>
        <w:t>21</w:t>
      </w:r>
      <w:r>
        <w:rPr>
          <w:b w:val="0"/>
          <w:i w:val="0"/>
        </w:rPr>
        <w:t>, 244. DOI: 10.1186/s12870-021-03022-5.</w:t>
      </w:r>
    </w:p>
    <w:p>
      <w:pPr>
        <w:spacing w:line="240" w:lineRule="auto" w:after="80"/>
        <w:jc w:val="both"/>
      </w:pPr>
      <w:r>
        <w:rPr>
          <w:b w:val="0"/>
          <w:i w:val="0"/>
        </w:rPr>
        <w:t xml:space="preserve">20. Dhanorkar, R. J.; et al. Synthesis of functionalized styrene butadiene rubber and its applications in S-SBR–silica composites for high-performance tire applications. </w:t>
      </w:r>
      <w:r>
        <w:rPr>
          <w:i/>
        </w:rPr>
        <w:t>Ind. Eng. Chem. Res.</w:t>
      </w:r>
      <w:r>
        <w:rPr>
          <w:b w:val="0"/>
          <w:i w:val="0"/>
        </w:rPr>
        <w:t xml:space="preserve"> </w:t>
      </w:r>
      <w:r>
        <w:rPr>
          <w:b/>
          <w:i w:val="0"/>
        </w:rPr>
        <w:t>2021</w:t>
      </w:r>
      <w:r>
        <w:rPr>
          <w:b w:val="0"/>
          <w:i w:val="0"/>
        </w:rPr>
        <w:t xml:space="preserve">, </w:t>
      </w:r>
      <w:r>
        <w:rPr>
          <w:i/>
        </w:rPr>
        <w:t>60</w:t>
      </w:r>
      <w:r>
        <w:rPr>
          <w:b w:val="0"/>
          <w:i w:val="0"/>
        </w:rPr>
        <w:t>, 4517–4535. DOI: 10.1021/acs.iecr.0c06155.</w:t>
      </w:r>
    </w:p>
    <w:p>
      <w:pPr>
        <w:spacing w:line="240" w:lineRule="auto" w:after="80"/>
        <w:jc w:val="both"/>
      </w:pPr>
      <w:r>
        <w:rPr>
          <w:b w:val="0"/>
          <w:i w:val="0"/>
        </w:rPr>
        <w:t xml:space="preserve">21. Zubov, A.; Pokorny, J.; Kosek, J. Styrene–butadiene rubber (SBR) production by emulsion polymerization: dynamic modeling and intensification of the process. </w:t>
      </w:r>
      <w:r>
        <w:rPr>
          <w:i/>
        </w:rPr>
        <w:t>Chem. Eng. J.</w:t>
      </w:r>
      <w:r>
        <w:rPr>
          <w:b w:val="0"/>
          <w:i w:val="0"/>
        </w:rPr>
        <w:t xml:space="preserve"> </w:t>
      </w:r>
      <w:r>
        <w:rPr>
          <w:b/>
          <w:i w:val="0"/>
        </w:rPr>
        <w:t>2012</w:t>
      </w:r>
      <w:r>
        <w:rPr>
          <w:b w:val="0"/>
          <w:i w:val="0"/>
        </w:rPr>
        <w:t xml:space="preserve">, </w:t>
      </w:r>
      <w:r>
        <w:rPr>
          <w:i/>
        </w:rPr>
        <w:t>207–208</w:t>
      </w:r>
      <w:r>
        <w:rPr>
          <w:b w:val="0"/>
          <w:i w:val="0"/>
        </w:rPr>
        <w:t>, 414–420. DOI: 10.1016/j.cej.2012.06.144.</w:t>
      </w:r>
    </w:p>
    <w:p>
      <w:pPr>
        <w:spacing w:line="240" w:lineRule="auto" w:after="80"/>
        <w:jc w:val="both"/>
      </w:pPr>
      <w:r>
        <w:rPr>
          <w:b w:val="0"/>
          <w:i w:val="0"/>
        </w:rPr>
        <w:t xml:space="preserve">22. Singer, R.; Ollick, A. M.; Elhadary, M.; El-Sherbiny, I. M.; Gomma, A. Comparative study of natural rubber and styrene-butadiene rubber blends reinforced with different carbon black grades for tire tread production. </w:t>
      </w:r>
      <w:r>
        <w:rPr>
          <w:i/>
        </w:rPr>
        <w:t>Sci. Rep.</w:t>
      </w:r>
      <w:r>
        <w:rPr>
          <w:b w:val="0"/>
          <w:i w:val="0"/>
        </w:rPr>
        <w:t xml:space="preserve"> </w:t>
      </w:r>
      <w:r>
        <w:rPr>
          <w:b/>
          <w:i w:val="0"/>
        </w:rPr>
        <w:t>2026</w:t>
      </w:r>
      <w:r>
        <w:rPr>
          <w:b w:val="0"/>
          <w:i w:val="0"/>
        </w:rPr>
        <w:t xml:space="preserve">, </w:t>
      </w:r>
      <w:r>
        <w:rPr>
          <w:i/>
        </w:rPr>
        <w:t>16</w:t>
      </w:r>
      <w:r>
        <w:rPr>
          <w:b w:val="0"/>
          <w:i w:val="0"/>
        </w:rPr>
        <w:t>, 24902. DOI: 10.1038/s41598-026-65435-2.</w:t>
      </w:r>
    </w:p>
    <w:p>
      <w:pPr>
        <w:spacing w:line="240" w:lineRule="auto" w:after="80"/>
        <w:jc w:val="both"/>
      </w:pPr>
      <w:r>
        <w:rPr>
          <w:b w:val="0"/>
          <w:i w:val="0"/>
        </w:rPr>
        <w:t xml:space="preserve">23. Noguchi, F.; et al. Effect of strain-induced crystallization on the tear strength of natural rubber/styrene butadiene rubber blend. </w:t>
      </w:r>
      <w:r>
        <w:rPr>
          <w:i/>
        </w:rPr>
        <w:t>Adv. Polym. Technol.</w:t>
      </w:r>
      <w:r>
        <w:rPr>
          <w:b w:val="0"/>
          <w:i w:val="0"/>
        </w:rPr>
        <w:t xml:space="preserve"> </w:t>
      </w:r>
      <w:r>
        <w:rPr>
          <w:b/>
          <w:i w:val="0"/>
        </w:rPr>
        <w:t>2018</w:t>
      </w:r>
      <w:r>
        <w:rPr>
          <w:b w:val="0"/>
          <w:i w:val="0"/>
        </w:rPr>
        <w:t xml:space="preserve">, </w:t>
      </w:r>
      <w:r>
        <w:rPr>
          <w:i/>
        </w:rPr>
        <w:t>37</w:t>
      </w:r>
      <w:r>
        <w:rPr>
          <w:b w:val="0"/>
          <w:i w:val="0"/>
        </w:rPr>
        <w:t>, 1850–1858. DOI: 10.1002/adv.21843.</w:t>
      </w:r>
    </w:p>
    <w:p>
      <w:pPr>
        <w:spacing w:line="240" w:lineRule="auto" w:after="80"/>
        <w:jc w:val="both"/>
      </w:pPr>
      <w:r>
        <w:rPr>
          <w:b w:val="0"/>
          <w:i w:val="0"/>
        </w:rPr>
        <w:t xml:space="preserve">24. Tangudom, P.; Thongsang, S.; Sombatsompop, N. Cure and mechanical properties and abrasive wear behavior of natural rubber, styrene-butadiene rubber and their blends reinforced with silica hybrid fillers. </w:t>
      </w:r>
      <w:r>
        <w:rPr>
          <w:i/>
        </w:rPr>
        <w:t>Mater. Des.</w:t>
      </w:r>
      <w:r>
        <w:rPr>
          <w:b w:val="0"/>
          <w:i w:val="0"/>
        </w:rPr>
        <w:t xml:space="preserve"> </w:t>
      </w:r>
      <w:r>
        <w:rPr>
          <w:b/>
          <w:i w:val="0"/>
        </w:rPr>
        <w:t>2014</w:t>
      </w:r>
      <w:r>
        <w:rPr>
          <w:b w:val="0"/>
          <w:i w:val="0"/>
        </w:rPr>
        <w:t xml:space="preserve">, </w:t>
      </w:r>
      <w:r>
        <w:rPr>
          <w:i/>
        </w:rPr>
        <w:t>53</w:t>
      </w:r>
      <w:r>
        <w:rPr>
          <w:b w:val="0"/>
          <w:i w:val="0"/>
        </w:rPr>
        <w:t>, 856–864. DOI: 10.1016/j.matdes.2013.07.024.</w:t>
      </w:r>
    </w:p>
    <w:p>
      <w:pPr>
        <w:spacing w:line="240" w:lineRule="auto" w:after="80"/>
        <w:jc w:val="both"/>
      </w:pPr>
      <w:r>
        <w:rPr>
          <w:b w:val="0"/>
          <w:i w:val="0"/>
        </w:rPr>
        <w:t xml:space="preserve">25. Goyanes, S.; et al. Thermal properties in cured natural rubber/styrene butadiene rubber blends. </w:t>
      </w:r>
      <w:r>
        <w:rPr>
          <w:i/>
        </w:rPr>
        <w:t>Eur. Polym. J.</w:t>
      </w:r>
      <w:r>
        <w:rPr>
          <w:b w:val="0"/>
          <w:i w:val="0"/>
        </w:rPr>
        <w:t xml:space="preserve"> </w:t>
      </w:r>
      <w:r>
        <w:rPr>
          <w:b/>
          <w:i w:val="0"/>
        </w:rPr>
        <w:t>2008</w:t>
      </w:r>
      <w:r>
        <w:rPr>
          <w:b w:val="0"/>
          <w:i w:val="0"/>
        </w:rPr>
        <w:t xml:space="preserve">, </w:t>
      </w:r>
      <w:r>
        <w:rPr>
          <w:i/>
        </w:rPr>
        <w:t>44</w:t>
      </w:r>
      <w:r>
        <w:rPr>
          <w:b w:val="0"/>
          <w:i w:val="0"/>
        </w:rPr>
        <w:t>, 1525–1534. DOI: 10.1016/j.eurpolymj.2008.02.016.</w:t>
      </w:r>
    </w:p>
    <w:p>
      <w:pPr>
        <w:spacing w:line="240" w:lineRule="auto" w:after="80"/>
        <w:jc w:val="both"/>
      </w:pPr>
      <w:r>
        <w:rPr>
          <w:b w:val="0"/>
          <w:i w:val="0"/>
        </w:rPr>
        <w:t xml:space="preserve">26. Tang, S.; Li, Z.; Sun, W.; Liu, Y.; Wang, J.; Wang, X.; Lin, J. Natural rubber/styrene–butadiene rubber blend composites potentially applied in damping bearings. </w:t>
      </w:r>
      <w:r>
        <w:rPr>
          <w:i/>
        </w:rPr>
        <w:t>Polymers</w:t>
      </w:r>
      <w:r>
        <w:rPr>
          <w:b w:val="0"/>
          <w:i w:val="0"/>
        </w:rPr>
        <w:t xml:space="preserve"> </w:t>
      </w:r>
      <w:r>
        <w:rPr>
          <w:b/>
          <w:i w:val="0"/>
        </w:rPr>
        <w:t>2024</w:t>
      </w:r>
      <w:r>
        <w:rPr>
          <w:b w:val="0"/>
          <w:i w:val="0"/>
        </w:rPr>
        <w:t xml:space="preserve">, </w:t>
      </w:r>
      <w:r>
        <w:rPr>
          <w:i/>
        </w:rPr>
        <w:t>16</w:t>
      </w:r>
      <w:r>
        <w:rPr>
          <w:b w:val="0"/>
          <w:i w:val="0"/>
        </w:rPr>
        <w:t>, 1945. DOI: 10.3390/polym16131945.</w:t>
      </w:r>
    </w:p>
    <w:p>
      <w:pPr>
        <w:spacing w:line="240" w:lineRule="auto" w:after="80"/>
        <w:jc w:val="both"/>
      </w:pPr>
      <w:r>
        <w:rPr>
          <w:b w:val="0"/>
          <w:i w:val="0"/>
        </w:rPr>
        <w:t xml:space="preserve">27. Floriano, J. F.; et al. Biocompatibility studies of natural rubber latex from different tree clones and collection methods. </w:t>
      </w:r>
      <w:r>
        <w:rPr>
          <w:i/>
        </w:rPr>
        <w:t>J. Mater. Sci. Mater. Med.</w:t>
      </w:r>
      <w:r>
        <w:rPr>
          <w:b w:val="0"/>
          <w:i w:val="0"/>
        </w:rPr>
        <w:t xml:space="preserve"> </w:t>
      </w:r>
      <w:r>
        <w:rPr>
          <w:b/>
          <w:i w:val="0"/>
        </w:rPr>
        <w:t>2014</w:t>
      </w:r>
      <w:r>
        <w:rPr>
          <w:b w:val="0"/>
          <w:i w:val="0"/>
        </w:rPr>
        <w:t xml:space="preserve">, </w:t>
      </w:r>
      <w:r>
        <w:rPr>
          <w:i/>
        </w:rPr>
        <w:t>25</w:t>
      </w:r>
      <w:r>
        <w:rPr>
          <w:b w:val="0"/>
          <w:i w:val="0"/>
        </w:rPr>
        <w:t>, 461–470. DOI: 10.1007/s10856-013-5089-9.</w:t>
      </w:r>
    </w:p>
    <w:p>
      <w:pPr>
        <w:spacing w:line="240" w:lineRule="auto" w:after="80"/>
        <w:jc w:val="both"/>
      </w:pPr>
      <w:r>
        <w:rPr>
          <w:b w:val="0"/>
          <w:i w:val="0"/>
        </w:rPr>
        <w:t xml:space="preserve">28. Nucera, E.; et al. Latex allergy: current status and future perspectives. </w:t>
      </w:r>
      <w:r>
        <w:rPr>
          <w:i/>
        </w:rPr>
        <w:t>J. Asthma Allergy</w:t>
      </w:r>
      <w:r>
        <w:rPr>
          <w:b w:val="0"/>
          <w:i w:val="0"/>
        </w:rPr>
        <w:t xml:space="preserve"> </w:t>
      </w:r>
      <w:r>
        <w:rPr>
          <w:b/>
          <w:i w:val="0"/>
        </w:rPr>
        <w:t>2020</w:t>
      </w:r>
      <w:r>
        <w:rPr>
          <w:b w:val="0"/>
          <w:i w:val="0"/>
        </w:rPr>
        <w:t xml:space="preserve">, </w:t>
      </w:r>
      <w:r>
        <w:rPr>
          <w:i/>
        </w:rPr>
        <w:t>13</w:t>
      </w:r>
      <w:r>
        <w:rPr>
          <w:b w:val="0"/>
          <w:i w:val="0"/>
        </w:rPr>
        <w:t>, 385–398. DOI: 10.2147/JAA.S242058.</w:t>
      </w:r>
    </w:p>
    <w:p>
      <w:pPr>
        <w:spacing w:line="240" w:lineRule="auto" w:after="80"/>
        <w:jc w:val="both"/>
      </w:pPr>
      <w:r>
        <w:rPr>
          <w:b w:val="0"/>
          <w:i w:val="0"/>
        </w:rPr>
        <w:t xml:space="preserve">29. Cucci, G.; Valentini, F.; Dorigato, A. Cradle to gate life cycle assessment of tyre-grade natural rubber produced in Thailand. </w:t>
      </w:r>
      <w:r>
        <w:rPr>
          <w:i/>
        </w:rPr>
        <w:t>Sci. Total Environ.</w:t>
      </w:r>
      <w:r>
        <w:rPr>
          <w:b w:val="0"/>
          <w:i w:val="0"/>
        </w:rPr>
        <w:t xml:space="preserve"> </w:t>
      </w:r>
      <w:r>
        <w:rPr>
          <w:b/>
          <w:i w:val="0"/>
        </w:rPr>
        <w:t>2025</w:t>
      </w:r>
      <w:r>
        <w:rPr>
          <w:b w:val="0"/>
          <w:i w:val="0"/>
        </w:rPr>
        <w:t xml:space="preserve">, </w:t>
      </w:r>
      <w:r>
        <w:rPr>
          <w:i/>
        </w:rPr>
        <w:t>987</w:t>
      </w:r>
      <w:r>
        <w:rPr>
          <w:b w:val="0"/>
          <w:i w:val="0"/>
        </w:rPr>
        <w:t>, 179653. DOI: 10.1016/j.scitotenv.2025.179653.</w:t>
      </w:r>
    </w:p>
    <w:p>
      <w:pPr>
        <w:spacing w:line="240" w:lineRule="auto" w:after="80"/>
        <w:jc w:val="both"/>
      </w:pPr>
      <w:r>
        <w:rPr>
          <w:b w:val="0"/>
          <w:i w:val="0"/>
        </w:rPr>
        <w:t xml:space="preserve">30. Dunuwila, P.; et al. Revealing the environmental footprint of crepe rubber production: a life cycle assessment. </w:t>
      </w:r>
      <w:r>
        <w:rPr>
          <w:i/>
        </w:rPr>
        <w:t>Sustainability</w:t>
      </w:r>
      <w:r>
        <w:rPr>
          <w:b w:val="0"/>
          <w:i w:val="0"/>
        </w:rPr>
        <w:t xml:space="preserve"> </w:t>
      </w:r>
      <w:r>
        <w:rPr>
          <w:b/>
          <w:i w:val="0"/>
        </w:rPr>
        <w:t>2025</w:t>
      </w:r>
      <w:r>
        <w:rPr>
          <w:b w:val="0"/>
          <w:i w:val="0"/>
        </w:rPr>
        <w:t xml:space="preserve">, </w:t>
      </w:r>
      <w:r>
        <w:rPr>
          <w:i/>
        </w:rPr>
        <w:t>17</w:t>
      </w:r>
      <w:r>
        <w:rPr>
          <w:b w:val="0"/>
          <w:i w:val="0"/>
        </w:rPr>
        <w:t>, 1239. DOI: 10.3390/su17031239.</w:t>
      </w:r>
    </w:p>
    <w:p>
      <w:pPr>
        <w:spacing w:line="240" w:lineRule="auto" w:after="80"/>
        <w:jc w:val="both"/>
      </w:pPr>
      <w:r>
        <w:rPr>
          <w:b w:val="0"/>
          <w:i w:val="0"/>
        </w:rPr>
        <w:t xml:space="preserve">31. Boon, Z. H.; et al. Recent development of biodegradable synthetic rubbers and bio-based rubbers using sustainable materials from biological sources. </w:t>
      </w:r>
      <w:r>
        <w:rPr>
          <w:i/>
        </w:rPr>
        <w:t>RSC Adv.</w:t>
      </w:r>
      <w:r>
        <w:rPr>
          <w:b w:val="0"/>
          <w:i w:val="0"/>
        </w:rPr>
        <w:t xml:space="preserve"> </w:t>
      </w:r>
      <w:r>
        <w:rPr>
          <w:b/>
          <w:i w:val="0"/>
        </w:rPr>
        <w:t>2022</w:t>
      </w:r>
      <w:r>
        <w:rPr>
          <w:b w:val="0"/>
          <w:i w:val="0"/>
        </w:rPr>
        <w:t xml:space="preserve">, </w:t>
      </w:r>
      <w:r>
        <w:rPr>
          <w:i/>
        </w:rPr>
        <w:t>12</w:t>
      </w:r>
      <w:r>
        <w:rPr>
          <w:b w:val="0"/>
          <w:i w:val="0"/>
        </w:rPr>
        <w:t>, 34028–34052. DOI: 10.1039/D2RA06602E.</w:t>
      </w:r>
    </w:p>
    <w:p>
      <w:pPr>
        <w:spacing w:line="240" w:lineRule="auto" w:after="80"/>
        <w:jc w:val="both"/>
      </w:pPr>
      <w:r>
        <w:rPr>
          <w:b w:val="0"/>
          <w:i w:val="0"/>
        </w:rPr>
        <w:t xml:space="preserve">32. U.S. Bureau of Labor Statistics. </w:t>
      </w:r>
      <w:r>
        <w:rPr>
          <w:i/>
        </w:rPr>
        <w:t>Why the Prices of Natural and Synthetic Rubber Do Not Always Bounce Together</w:t>
      </w:r>
      <w:r>
        <w:rPr>
          <w:b w:val="0"/>
          <w:i w:val="0"/>
        </w:rPr>
        <w:t>; Beyond the Numbers, Vol. 9; U.S. BLS: Washington, DC, 2020. Available at: bls.gov/opub/btn/volume-9/why-the-prices-of-natural-and-synthetic-rubber-do-not-always-bounce-together.htm</w:t>
      </w:r>
    </w:p>
    <w:p>
      <w:pPr>
        <w:spacing w:line="240" w:lineRule="auto" w:after="80"/>
        <w:jc w:val="both"/>
      </w:pPr>
      <w:r>
        <w:rPr>
          <w:b w:val="0"/>
          <w:i w:val="0"/>
        </w:rPr>
        <w:t xml:space="preserve">33. Nishiyama, Y.; Langan, P.; Chanzy, H. Crystal structure and hydrogen-bonding system in cellulose Iβ from synchrotron X-ray and neutron fiber diffraction. </w:t>
      </w:r>
      <w:r>
        <w:rPr>
          <w:i/>
        </w:rPr>
        <w:t>J. Am. Chem. Soc.</w:t>
      </w:r>
      <w:r>
        <w:rPr>
          <w:b w:val="0"/>
          <w:i w:val="0"/>
        </w:rPr>
        <w:t xml:space="preserve"> </w:t>
      </w:r>
      <w:r>
        <w:rPr>
          <w:b/>
          <w:i w:val="0"/>
        </w:rPr>
        <w:t>2002</w:t>
      </w:r>
      <w:r>
        <w:rPr>
          <w:b w:val="0"/>
          <w:i w:val="0"/>
        </w:rPr>
        <w:t xml:space="preserve">, </w:t>
      </w:r>
      <w:r>
        <w:rPr>
          <w:i/>
        </w:rPr>
        <w:t>124</w:t>
      </w:r>
      <w:r>
        <w:rPr>
          <w:b w:val="0"/>
          <w:i w:val="0"/>
        </w:rPr>
        <w:t>, 9074–9082. DOI: 10.1021/ja0257319.</w:t>
      </w:r>
    </w:p>
    <w:p>
      <w:pPr>
        <w:spacing w:line="240" w:lineRule="auto" w:after="80"/>
        <w:jc w:val="both"/>
      </w:pPr>
      <w:r>
        <w:rPr>
          <w:b w:val="0"/>
          <w:i w:val="0"/>
        </w:rPr>
        <w:t xml:space="preserve">34. Nishiyama, Y.; Sugiyama, J.; Chanzy, H.; Langan, P. Crystal structure and hydrogen bonding system in cellulose Iα from synchrotron X-ray and neutron fiber diffraction. </w:t>
      </w:r>
      <w:r>
        <w:rPr>
          <w:i/>
        </w:rPr>
        <w:t>J. Am. Chem. Soc.</w:t>
      </w:r>
      <w:r>
        <w:rPr>
          <w:b w:val="0"/>
          <w:i w:val="0"/>
        </w:rPr>
        <w:t xml:space="preserve"> </w:t>
      </w:r>
      <w:r>
        <w:rPr>
          <w:b/>
          <w:i w:val="0"/>
        </w:rPr>
        <w:t>2003</w:t>
      </w:r>
      <w:r>
        <w:rPr>
          <w:b w:val="0"/>
          <w:i w:val="0"/>
        </w:rPr>
        <w:t xml:space="preserve">, </w:t>
      </w:r>
      <w:r>
        <w:rPr>
          <w:i/>
        </w:rPr>
        <w:t>125</w:t>
      </w:r>
      <w:r>
        <w:rPr>
          <w:b w:val="0"/>
          <w:i w:val="0"/>
        </w:rPr>
        <w:t>, 14300–14306. DOI: 10.1021/ja037055w.</w:t>
      </w:r>
    </w:p>
    <w:p>
      <w:pPr>
        <w:spacing w:line="240" w:lineRule="auto" w:after="80"/>
        <w:jc w:val="both"/>
      </w:pPr>
      <w:r>
        <w:rPr>
          <w:b w:val="0"/>
          <w:i w:val="0"/>
        </w:rPr>
        <w:t xml:space="preserve">35. Nishino, T.; Takano, K.; Nakamae, K. Elastic modulus of the crystalline regions of cellulose polymorphs. </w:t>
      </w:r>
      <w:r>
        <w:rPr>
          <w:i/>
        </w:rPr>
        <w:t>J. Polym. Sci. B Polym. Phys.</w:t>
      </w:r>
      <w:r>
        <w:rPr>
          <w:b w:val="0"/>
          <w:i w:val="0"/>
        </w:rPr>
        <w:t xml:space="preserve"> </w:t>
      </w:r>
      <w:r>
        <w:rPr>
          <w:b/>
          <w:i w:val="0"/>
        </w:rPr>
        <w:t>1995</w:t>
      </w:r>
      <w:r>
        <w:rPr>
          <w:b w:val="0"/>
          <w:i w:val="0"/>
        </w:rPr>
        <w:t xml:space="preserve">, </w:t>
      </w:r>
      <w:r>
        <w:rPr>
          <w:i/>
        </w:rPr>
        <w:t>33</w:t>
      </w:r>
      <w:r>
        <w:rPr>
          <w:b w:val="0"/>
          <w:i w:val="0"/>
        </w:rPr>
        <w:t>, 1647–1651. DOI: 10.1002/polb.1995.090331110.</w:t>
      </w:r>
    </w:p>
    <w:p>
      <w:pPr>
        <w:spacing w:line="240" w:lineRule="auto" w:after="80"/>
        <w:jc w:val="both"/>
      </w:pPr>
      <w:r>
        <w:rPr>
          <w:b w:val="0"/>
          <w:i w:val="0"/>
        </w:rPr>
        <w:t xml:space="preserve">36. Eichhorn, S. J.; Baillie, C. A.; Zafeiropoulos, N.; et al. Review: current international research into cellulosic fibres and composites. </w:t>
      </w:r>
      <w:r>
        <w:rPr>
          <w:i/>
        </w:rPr>
        <w:t>J. Mater. Sci.</w:t>
      </w:r>
      <w:r>
        <w:rPr>
          <w:b w:val="0"/>
          <w:i w:val="0"/>
        </w:rPr>
        <w:t xml:space="preserve"> </w:t>
      </w:r>
      <w:r>
        <w:rPr>
          <w:b/>
          <w:i w:val="0"/>
        </w:rPr>
        <w:t>2001</w:t>
      </w:r>
      <w:r>
        <w:rPr>
          <w:b w:val="0"/>
          <w:i w:val="0"/>
        </w:rPr>
        <w:t xml:space="preserve">, </w:t>
      </w:r>
      <w:r>
        <w:rPr>
          <w:i/>
        </w:rPr>
        <w:t>36</w:t>
      </w:r>
      <w:r>
        <w:rPr>
          <w:b w:val="0"/>
          <w:i w:val="0"/>
        </w:rPr>
        <w:t>, 2107–2131. DOI: 10.1023/A:1017512029696.</w:t>
      </w:r>
    </w:p>
    <w:p>
      <w:pPr>
        <w:spacing w:line="240" w:lineRule="auto" w:after="80"/>
        <w:jc w:val="both"/>
      </w:pPr>
      <w:r>
        <w:rPr>
          <w:b w:val="0"/>
          <w:i w:val="0"/>
        </w:rPr>
        <w:t xml:space="preserve">37. Rosenau, T.; Potthast, A.; Sixta, H.; Kosma, P. The chemistry of side reactions and byproduct formation in the system NMMO/cellulose (Lyocell process). </w:t>
      </w:r>
      <w:r>
        <w:rPr>
          <w:i/>
        </w:rPr>
        <w:t>Prog. Polym. Sci.</w:t>
      </w:r>
      <w:r>
        <w:rPr>
          <w:b w:val="0"/>
          <w:i w:val="0"/>
        </w:rPr>
        <w:t xml:space="preserve"> </w:t>
      </w:r>
      <w:r>
        <w:rPr>
          <w:b/>
          <w:i w:val="0"/>
        </w:rPr>
        <w:t>2001</w:t>
      </w:r>
      <w:r>
        <w:rPr>
          <w:b w:val="0"/>
          <w:i w:val="0"/>
        </w:rPr>
        <w:t xml:space="preserve">, </w:t>
      </w:r>
      <w:r>
        <w:rPr>
          <w:i/>
        </w:rPr>
        <w:t>26</w:t>
      </w:r>
      <w:r>
        <w:rPr>
          <w:b w:val="0"/>
          <w:i w:val="0"/>
        </w:rPr>
        <w:t>, 1763–1837. DOI: 10.1016/S0079-6700(01)00023-5.</w:t>
      </w:r>
    </w:p>
    <w:p>
      <w:pPr>
        <w:spacing w:line="240" w:lineRule="auto" w:after="80"/>
        <w:jc w:val="both"/>
      </w:pPr>
      <w:r>
        <w:rPr>
          <w:b w:val="0"/>
          <w:i w:val="0"/>
        </w:rPr>
        <w:t xml:space="preserve">38. Wang, S.; Li, C.; Copeland, L.; Niu, Q.; Wang, S. Starch retrogradation: a comprehensive review. </w:t>
      </w:r>
      <w:r>
        <w:rPr>
          <w:i/>
        </w:rPr>
        <w:t>Compr. Rev. Food Sci. Food Saf.</w:t>
      </w:r>
      <w:r>
        <w:rPr>
          <w:b w:val="0"/>
          <w:i w:val="0"/>
        </w:rPr>
        <w:t xml:space="preserve"> </w:t>
      </w:r>
      <w:r>
        <w:rPr>
          <w:b/>
          <w:i w:val="0"/>
        </w:rPr>
        <w:t>2015</w:t>
      </w:r>
      <w:r>
        <w:rPr>
          <w:b w:val="0"/>
          <w:i w:val="0"/>
        </w:rPr>
        <w:t xml:space="preserve">, </w:t>
      </w:r>
      <w:r>
        <w:rPr>
          <w:i/>
        </w:rPr>
        <w:t>14</w:t>
      </w:r>
      <w:r>
        <w:rPr>
          <w:b w:val="0"/>
          <w:i w:val="0"/>
        </w:rPr>
        <w:t>, 568–585. DOI: 10.1111/1541-4337.12143.</w:t>
      </w:r>
    </w:p>
    <w:p>
      <w:pPr>
        <w:spacing w:line="240" w:lineRule="auto" w:after="80"/>
        <w:jc w:val="both"/>
      </w:pPr>
      <w:r>
        <w:rPr>
          <w:b w:val="0"/>
          <w:i w:val="0"/>
        </w:rPr>
        <w:t xml:space="preserve">39. Rinaudo, M. Chitin and chitosan: properties and applications. </w:t>
      </w:r>
      <w:r>
        <w:rPr>
          <w:i/>
        </w:rPr>
        <w:t>Prog. Polym. Sci.</w:t>
      </w:r>
      <w:r>
        <w:rPr>
          <w:b w:val="0"/>
          <w:i w:val="0"/>
        </w:rPr>
        <w:t xml:space="preserve"> </w:t>
      </w:r>
      <w:r>
        <w:rPr>
          <w:b/>
          <w:i w:val="0"/>
        </w:rPr>
        <w:t>2006</w:t>
      </w:r>
      <w:r>
        <w:rPr>
          <w:b w:val="0"/>
          <w:i w:val="0"/>
        </w:rPr>
        <w:t xml:space="preserve">, </w:t>
      </w:r>
      <w:r>
        <w:rPr>
          <w:i/>
        </w:rPr>
        <w:t>31</w:t>
      </w:r>
      <w:r>
        <w:rPr>
          <w:b w:val="0"/>
          <w:i w:val="0"/>
        </w:rPr>
        <w:t>, 603–632. DOI: 10.1016/j.progpolymsci.2006.06.001.</w:t>
      </w:r>
    </w:p>
    <w:p>
      <w:pPr>
        <w:spacing w:line="240" w:lineRule="auto" w:after="80"/>
        <w:jc w:val="both"/>
      </w:pPr>
      <w:r>
        <w:rPr>
          <w:b w:val="0"/>
          <w:i w:val="0"/>
        </w:rPr>
        <w:t xml:space="preserve">40. Drumright, R. E.; Gruber, P. R.; Henton, D. E. Polylactic acid technology. </w:t>
      </w:r>
      <w:r>
        <w:rPr>
          <w:i/>
        </w:rPr>
        <w:t>Adv. Mater.</w:t>
      </w:r>
      <w:r>
        <w:rPr>
          <w:b w:val="0"/>
          <w:i w:val="0"/>
        </w:rPr>
        <w:t xml:space="preserve"> </w:t>
      </w:r>
      <w:r>
        <w:rPr>
          <w:b/>
          <w:i w:val="0"/>
        </w:rPr>
        <w:t>2000</w:t>
      </w:r>
      <w:r>
        <w:rPr>
          <w:b w:val="0"/>
          <w:i w:val="0"/>
        </w:rPr>
        <w:t xml:space="preserve">, </w:t>
      </w:r>
      <w:r>
        <w:rPr>
          <w:i/>
        </w:rPr>
        <w:t>12</w:t>
      </w:r>
      <w:r>
        <w:rPr>
          <w:b w:val="0"/>
          <w:i w:val="0"/>
        </w:rPr>
        <w:t>, 1841–1846. DOI: 10.1002/1521-4095(200012)12:23&lt;1841::AID-ADMA1841&gt;3.0.CO;2-E.</w:t>
      </w:r>
    </w:p>
    <w:p>
      <w:pPr>
        <w:spacing w:line="240" w:lineRule="auto" w:after="80"/>
        <w:jc w:val="both"/>
      </w:pPr>
      <w:r>
        <w:rPr>
          <w:b w:val="0"/>
          <w:i w:val="0"/>
        </w:rPr>
        <w:t xml:space="preserve">41. Kowalski, A.; Duda, A.; Penczek, S. Kinetics and mechanism of cyclic esters polymerization initiated with tin(II) octoate. 3. Polymerization of L,L-dilactide. </w:t>
      </w:r>
      <w:r>
        <w:rPr>
          <w:i/>
        </w:rPr>
        <w:t>Macromolecules</w:t>
      </w:r>
      <w:r>
        <w:rPr>
          <w:b w:val="0"/>
          <w:i w:val="0"/>
        </w:rPr>
        <w:t xml:space="preserve"> </w:t>
      </w:r>
      <w:r>
        <w:rPr>
          <w:b/>
          <w:i w:val="0"/>
        </w:rPr>
        <w:t>2000</w:t>
      </w:r>
      <w:r>
        <w:rPr>
          <w:b w:val="0"/>
          <w:i w:val="0"/>
        </w:rPr>
        <w:t xml:space="preserve">, </w:t>
      </w:r>
      <w:r>
        <w:rPr>
          <w:i/>
        </w:rPr>
        <w:t>33</w:t>
      </w:r>
      <w:r>
        <w:rPr>
          <w:b w:val="0"/>
          <w:i w:val="0"/>
        </w:rPr>
        <w:t>, 7359–7370. DOI: 10.1021/ma000125o.</w:t>
      </w:r>
    </w:p>
    <w:p>
      <w:pPr>
        <w:spacing w:line="240" w:lineRule="auto" w:after="80"/>
        <w:jc w:val="both"/>
      </w:pPr>
      <w:r>
        <w:rPr>
          <w:b w:val="0"/>
          <w:i w:val="0"/>
        </w:rPr>
        <w:t xml:space="preserve">42. Auras, R.; Harte, B.; Selke, S. An overview of polylactides as packaging materials. </w:t>
      </w:r>
      <w:r>
        <w:rPr>
          <w:i/>
        </w:rPr>
        <w:t>Macromol. Biosci.</w:t>
      </w:r>
      <w:r>
        <w:rPr>
          <w:b w:val="0"/>
          <w:i w:val="0"/>
        </w:rPr>
        <w:t xml:space="preserve"> </w:t>
      </w:r>
      <w:r>
        <w:rPr>
          <w:b/>
          <w:i w:val="0"/>
        </w:rPr>
        <w:t>2004</w:t>
      </w:r>
      <w:r>
        <w:rPr>
          <w:b w:val="0"/>
          <w:i w:val="0"/>
        </w:rPr>
        <w:t xml:space="preserve">, </w:t>
      </w:r>
      <w:r>
        <w:rPr>
          <w:i/>
        </w:rPr>
        <w:t>4</w:t>
      </w:r>
      <w:r>
        <w:rPr>
          <w:b w:val="0"/>
          <w:i w:val="0"/>
        </w:rPr>
        <w:t>, 835–864. DOI: 10.1002/mabi.200400043.</w:t>
      </w:r>
    </w:p>
    <w:p>
      <w:pPr>
        <w:spacing w:line="240" w:lineRule="auto" w:after="80"/>
        <w:jc w:val="both"/>
      </w:pPr>
      <w:r>
        <w:rPr>
          <w:b w:val="0"/>
          <w:i w:val="0"/>
        </w:rPr>
        <w:t xml:space="preserve">43. Farah, S.; Anderson, D. G.; Langer, R. Physical and mechanical properties of PLA, and their functions in widespread applications — a comprehensive review. </w:t>
      </w:r>
      <w:r>
        <w:rPr>
          <w:i/>
        </w:rPr>
        <w:t>Adv. Drug Deliv. Rev.</w:t>
      </w:r>
      <w:r>
        <w:rPr>
          <w:b w:val="0"/>
          <w:i w:val="0"/>
        </w:rPr>
        <w:t xml:space="preserve"> </w:t>
      </w:r>
      <w:r>
        <w:rPr>
          <w:b/>
          <w:i w:val="0"/>
        </w:rPr>
        <w:t>2016</w:t>
      </w:r>
      <w:r>
        <w:rPr>
          <w:b w:val="0"/>
          <w:i w:val="0"/>
        </w:rPr>
        <w:t xml:space="preserve">, </w:t>
      </w:r>
      <w:r>
        <w:rPr>
          <w:i/>
        </w:rPr>
        <w:t>107</w:t>
      </w:r>
      <w:r>
        <w:rPr>
          <w:b w:val="0"/>
          <w:i w:val="0"/>
        </w:rPr>
        <w:t>, 367–392. DOI: 10.1016/j.addr.2016.06.012.</w:t>
      </w:r>
    </w:p>
    <w:p>
      <w:pPr>
        <w:spacing w:line="240" w:lineRule="auto" w:after="80"/>
        <w:jc w:val="both"/>
      </w:pPr>
      <w:r>
        <w:rPr>
          <w:b w:val="0"/>
          <w:i w:val="0"/>
        </w:rPr>
        <w:t xml:space="preserve">44. Sin, L. T.; Rahmat, A. R.; Rahman, W. A. W. A. Thermal properties of poly(lactic acid). In </w:t>
      </w:r>
      <w:r>
        <w:rPr>
          <w:i/>
        </w:rPr>
        <w:t>Polylactic Acid: PLA Biopolymer Technology and Applications</w:t>
      </w:r>
      <w:r>
        <w:rPr>
          <w:b w:val="0"/>
          <w:i w:val="0"/>
        </w:rPr>
        <w:t>; William Andrew: Oxford, 2013; pp 109–141. DOI: 10.1016/B978-1-4377-4459-0.00003-2.</w:t>
      </w:r>
    </w:p>
    <w:p>
      <w:pPr>
        <w:spacing w:line="240" w:lineRule="auto" w:after="80"/>
        <w:jc w:val="both"/>
      </w:pPr>
      <w:r>
        <w:rPr>
          <w:b w:val="0"/>
          <w:i w:val="0"/>
        </w:rPr>
        <w:t xml:space="preserve">45. Shoulders, M. D.; Raines, R. T. Collagen structure and stability. </w:t>
      </w:r>
      <w:r>
        <w:rPr>
          <w:i/>
        </w:rPr>
        <w:t>Annu. Rev. Biochem.</w:t>
      </w:r>
      <w:r>
        <w:rPr>
          <w:b w:val="0"/>
          <w:i w:val="0"/>
        </w:rPr>
        <w:t xml:space="preserve"> </w:t>
      </w:r>
      <w:r>
        <w:rPr>
          <w:b/>
          <w:i w:val="0"/>
        </w:rPr>
        <w:t>2009</w:t>
      </w:r>
      <w:r>
        <w:rPr>
          <w:b w:val="0"/>
          <w:i w:val="0"/>
        </w:rPr>
        <w:t xml:space="preserve">, </w:t>
      </w:r>
      <w:r>
        <w:rPr>
          <w:i/>
        </w:rPr>
        <w:t>78</w:t>
      </w:r>
      <w:r>
        <w:rPr>
          <w:b w:val="0"/>
          <w:i w:val="0"/>
        </w:rPr>
        <w:t>, 929–958. DOI: 10.1146/annurev.biochem.77.032207.120833.</w:t>
      </w:r>
    </w:p>
    <w:p>
      <w:pPr>
        <w:spacing w:line="240" w:lineRule="auto" w:after="80"/>
        <w:jc w:val="both"/>
      </w:pPr>
      <w:r>
        <w:rPr>
          <w:b w:val="0"/>
          <w:i w:val="0"/>
        </w:rPr>
        <w:t xml:space="preserve">46. Stepto, R. F. T. Dispersity in polymer science (IUPAC Recommendations 2009). </w:t>
      </w:r>
      <w:r>
        <w:rPr>
          <w:i/>
        </w:rPr>
        <w:t>Pure Appl. Chem.</w:t>
      </w:r>
      <w:r>
        <w:rPr>
          <w:b w:val="0"/>
          <w:i w:val="0"/>
        </w:rPr>
        <w:t xml:space="preserve"> </w:t>
      </w:r>
      <w:r>
        <w:rPr>
          <w:b/>
          <w:i w:val="0"/>
        </w:rPr>
        <w:t>2009</w:t>
      </w:r>
      <w:r>
        <w:rPr>
          <w:b w:val="0"/>
          <w:i w:val="0"/>
        </w:rPr>
        <w:t xml:space="preserve">, </w:t>
      </w:r>
      <w:r>
        <w:rPr>
          <w:i/>
        </w:rPr>
        <w:t>81</w:t>
      </w:r>
      <w:r>
        <w:rPr>
          <w:b w:val="0"/>
          <w:i w:val="0"/>
        </w:rPr>
        <w:t>, 351–353. DOI: 10.1351/pac-rec-08-05-02.</w:t>
      </w:r>
    </w:p>
    <w:p>
      <w:pPr>
        <w:spacing w:line="240" w:lineRule="auto" w:after="80"/>
        <w:jc w:val="both"/>
      </w:pPr>
      <w:r>
        <w:rPr>
          <w:b w:val="0"/>
          <w:i w:val="0"/>
        </w:rPr>
        <w:t xml:space="preserve">47. Nunes, R. W.; Martin, J. R.; Johnson, J. F. Influence of molecular weight and molecular weight distribution on mechanical properties of polymers. </w:t>
      </w:r>
      <w:r>
        <w:rPr>
          <w:i/>
        </w:rPr>
        <w:t>Polym. Eng. Sci.</w:t>
      </w:r>
      <w:r>
        <w:rPr>
          <w:b w:val="0"/>
          <w:i w:val="0"/>
        </w:rPr>
        <w:t xml:space="preserve"> </w:t>
      </w:r>
      <w:r>
        <w:rPr>
          <w:b/>
          <w:i w:val="0"/>
        </w:rPr>
        <w:t>1982</w:t>
      </w:r>
      <w:r>
        <w:rPr>
          <w:b w:val="0"/>
          <w:i w:val="0"/>
        </w:rPr>
        <w:t xml:space="preserve">, </w:t>
      </w:r>
      <w:r>
        <w:rPr>
          <w:i/>
        </w:rPr>
        <w:t>22</w:t>
      </w:r>
      <w:r>
        <w:rPr>
          <w:b w:val="0"/>
          <w:i w:val="0"/>
        </w:rPr>
        <w:t>, 205–228. DOI: 10.1002/pen.760220402.</w:t>
      </w:r>
    </w:p>
    <w:p>
      <w:pPr>
        <w:spacing w:line="240" w:lineRule="auto" w:after="80"/>
        <w:jc w:val="both"/>
      </w:pPr>
      <w:r>
        <w:rPr>
          <w:b w:val="0"/>
          <w:i w:val="0"/>
        </w:rPr>
        <w:t xml:space="preserve">48. Fetters, L. J.; Lohse, D. J.; Richter, D.; Witten, T. A.; Zirkel, A. Connection between polymer molecular weight, density, chain dimensions, and melt viscoelastic properties. </w:t>
      </w:r>
      <w:r>
        <w:rPr>
          <w:i/>
        </w:rPr>
        <w:t>Macromolecules</w:t>
      </w:r>
      <w:r>
        <w:rPr>
          <w:b w:val="0"/>
          <w:i w:val="0"/>
        </w:rPr>
        <w:t xml:space="preserve"> </w:t>
      </w:r>
      <w:r>
        <w:rPr>
          <w:b/>
          <w:i w:val="0"/>
        </w:rPr>
        <w:t>1994</w:t>
      </w:r>
      <w:r>
        <w:rPr>
          <w:b w:val="0"/>
          <w:i w:val="0"/>
        </w:rPr>
        <w:t xml:space="preserve">, </w:t>
      </w:r>
      <w:r>
        <w:rPr>
          <w:i/>
        </w:rPr>
        <w:t>27</w:t>
      </w:r>
      <w:r>
        <w:rPr>
          <w:b w:val="0"/>
          <w:i w:val="0"/>
        </w:rPr>
        <w:t>, 4639–4647. DOI: 10.1021/ma00095a001.</w:t>
      </w:r>
    </w:p>
    <w:p>
      <w:pPr>
        <w:spacing w:line="240" w:lineRule="auto" w:after="80"/>
        <w:jc w:val="both"/>
      </w:pPr>
      <w:r>
        <w:rPr>
          <w:b w:val="0"/>
          <w:i w:val="0"/>
        </w:rPr>
        <w:t xml:space="preserve">49. von Burkersroda, F.; Schedl, L.; Göpferich, A. Why degradable polymers undergo surface erosion or bulk erosion. </w:t>
      </w:r>
      <w:r>
        <w:rPr>
          <w:i/>
        </w:rPr>
        <w:t>Biomaterials</w:t>
      </w:r>
      <w:r>
        <w:rPr>
          <w:b w:val="0"/>
          <w:i w:val="0"/>
        </w:rPr>
        <w:t xml:space="preserve"> </w:t>
      </w:r>
      <w:r>
        <w:rPr>
          <w:b/>
          <w:i w:val="0"/>
        </w:rPr>
        <w:t>2002</w:t>
      </w:r>
      <w:r>
        <w:rPr>
          <w:b w:val="0"/>
          <w:i w:val="0"/>
        </w:rPr>
        <w:t xml:space="preserve">, </w:t>
      </w:r>
      <w:r>
        <w:rPr>
          <w:i/>
        </w:rPr>
        <w:t>23</w:t>
      </w:r>
      <w:r>
        <w:rPr>
          <w:b w:val="0"/>
          <w:i w:val="0"/>
        </w:rPr>
        <w:t>, 4221–4231. DOI: 10.1016/S0142-9612(02)00170-9.</w:t>
      </w:r>
    </w:p>
    <w:p>
      <w:pPr>
        <w:spacing w:line="240" w:lineRule="auto" w:after="80"/>
        <w:jc w:val="both"/>
      </w:pPr>
      <w:r>
        <w:rPr>
          <w:b w:val="0"/>
          <w:i w:val="0"/>
        </w:rPr>
        <w:t xml:space="preserve">50. Lucas, N.; Bienaime, C.; Belloy, C.; Queneudec, M.; Silvestre, F.; Nava-Saucedo, J.-E. Polymer biodegradation: mechanisms and estimation techniques — a review. </w:t>
      </w:r>
      <w:r>
        <w:rPr>
          <w:i/>
        </w:rPr>
        <w:t>Chemosphere</w:t>
      </w:r>
      <w:r>
        <w:rPr>
          <w:b w:val="0"/>
          <w:i w:val="0"/>
        </w:rPr>
        <w:t xml:space="preserve"> </w:t>
      </w:r>
      <w:r>
        <w:rPr>
          <w:b/>
          <w:i w:val="0"/>
        </w:rPr>
        <w:t>2008</w:t>
      </w:r>
      <w:r>
        <w:rPr>
          <w:b w:val="0"/>
          <w:i w:val="0"/>
        </w:rPr>
        <w:t xml:space="preserve">, </w:t>
      </w:r>
      <w:r>
        <w:rPr>
          <w:i/>
        </w:rPr>
        <w:t>73</w:t>
      </w:r>
      <w:r>
        <w:rPr>
          <w:b w:val="0"/>
          <w:i w:val="0"/>
        </w:rPr>
        <w:t>, 429–442. DOI: 10.1016/j.chemosphere.2008.06.064.</w:t>
      </w:r>
    </w:p>
    <w:p>
      <w:pPr>
        <w:spacing w:line="240" w:lineRule="auto" w:after="80"/>
        <w:jc w:val="both"/>
      </w:pPr>
      <w:r>
        <w:rPr>
          <w:b w:val="0"/>
          <w:i w:val="0"/>
        </w:rPr>
        <w:t xml:space="preserve">51. Tokiwa, Y.; Calil, M. R.; Suzuki, T.; Aiba, S. Biodegradability of plastics. </w:t>
      </w:r>
      <w:r>
        <w:rPr>
          <w:i/>
        </w:rPr>
        <w:t>Int. J. Mol. Sci.</w:t>
      </w:r>
      <w:r>
        <w:rPr>
          <w:b w:val="0"/>
          <w:i w:val="0"/>
        </w:rPr>
        <w:t xml:space="preserve"> </w:t>
      </w:r>
      <w:r>
        <w:rPr>
          <w:b/>
          <w:i w:val="0"/>
        </w:rPr>
        <w:t>2009</w:t>
      </w:r>
      <w:r>
        <w:rPr>
          <w:b w:val="0"/>
          <w:i w:val="0"/>
        </w:rPr>
        <w:t xml:space="preserve">, </w:t>
      </w:r>
      <w:r>
        <w:rPr>
          <w:i/>
        </w:rPr>
        <w:t>10</w:t>
      </w:r>
      <w:r>
        <w:rPr>
          <w:b w:val="0"/>
          <w:i w:val="0"/>
        </w:rPr>
        <w:t>, 3722–3742. DOI: 10.3390/ijms10093722.</w:t>
      </w:r>
    </w:p>
    <w:p>
      <w:pPr>
        <w:spacing w:line="240" w:lineRule="auto" w:after="80"/>
        <w:jc w:val="both"/>
      </w:pPr>
      <w:r>
        <w:rPr>
          <w:b w:val="0"/>
          <w:i w:val="0"/>
        </w:rPr>
        <w:t xml:space="preserve">52. Middleton, J. C.; Tipton, A. J. Synthetic biodegradable polymers as orthopedic devices. </w:t>
      </w:r>
      <w:r>
        <w:rPr>
          <w:i/>
        </w:rPr>
        <w:t>Biomaterials</w:t>
      </w:r>
      <w:r>
        <w:rPr>
          <w:b w:val="0"/>
          <w:i w:val="0"/>
        </w:rPr>
        <w:t xml:space="preserve"> </w:t>
      </w:r>
      <w:r>
        <w:rPr>
          <w:b/>
          <w:i w:val="0"/>
        </w:rPr>
        <w:t>2000</w:t>
      </w:r>
      <w:r>
        <w:rPr>
          <w:b w:val="0"/>
          <w:i w:val="0"/>
        </w:rPr>
        <w:t xml:space="preserve">, </w:t>
      </w:r>
      <w:r>
        <w:rPr>
          <w:i/>
        </w:rPr>
        <w:t>21</w:t>
      </w:r>
      <w:r>
        <w:rPr>
          <w:b w:val="0"/>
          <w:i w:val="0"/>
        </w:rPr>
        <w:t>, 2335–2346. DOI: 10.1016/S0142-9612(00)00101-0.</w:t>
      </w:r>
    </w:p>
    <w:p>
      <w:pPr>
        <w:spacing w:line="240" w:lineRule="auto" w:after="80"/>
        <w:jc w:val="both"/>
      </w:pPr>
      <w:r>
        <w:rPr>
          <w:b w:val="0"/>
          <w:i w:val="0"/>
        </w:rPr>
        <w:t xml:space="preserve">53. Jem, K. J.; Tan, B. The development and challenges of poly(lactic acid) and poly(glycolic acid). </w:t>
      </w:r>
      <w:r>
        <w:rPr>
          <w:i/>
        </w:rPr>
        <w:t>Adv. Ind. Eng. Polym. Res.</w:t>
      </w:r>
      <w:r>
        <w:rPr>
          <w:b w:val="0"/>
          <w:i w:val="0"/>
        </w:rPr>
        <w:t xml:space="preserve"> </w:t>
      </w:r>
      <w:r>
        <w:rPr>
          <w:b/>
          <w:i w:val="0"/>
        </w:rPr>
        <w:t>2020</w:t>
      </w:r>
      <w:r>
        <w:rPr>
          <w:b w:val="0"/>
          <w:i w:val="0"/>
        </w:rPr>
        <w:t xml:space="preserve">, </w:t>
      </w:r>
      <w:r>
        <w:rPr>
          <w:i/>
        </w:rPr>
        <w:t>3</w:t>
      </w:r>
      <w:r>
        <w:rPr>
          <w:b w:val="0"/>
          <w:i w:val="0"/>
        </w:rPr>
        <w:t>, 60–70. DOI: 10.1016/j.aiepr.2020.01.002.</w:t>
      </w:r>
    </w:p>
    <w:p>
      <w:pPr>
        <w:spacing w:line="240" w:lineRule="auto" w:after="80"/>
        <w:jc w:val="both"/>
      </w:pPr>
      <w:r>
        <w:rPr>
          <w:b w:val="0"/>
          <w:i w:val="0"/>
        </w:rPr>
        <w:t xml:space="preserve">54. Ragauskas, A. J.; Beckham, G. T.; Biddy, M. J.; et al. Lignin valorization: improving lignin processing in the biorefinery. </w:t>
      </w:r>
      <w:r>
        <w:rPr>
          <w:i/>
        </w:rPr>
        <w:t>Science</w:t>
      </w:r>
      <w:r>
        <w:rPr>
          <w:b w:val="0"/>
          <w:i w:val="0"/>
        </w:rPr>
        <w:t xml:space="preserve"> </w:t>
      </w:r>
      <w:r>
        <w:rPr>
          <w:b/>
          <w:i w:val="0"/>
        </w:rPr>
        <w:t>2014</w:t>
      </w:r>
      <w:r>
        <w:rPr>
          <w:b w:val="0"/>
          <w:i w:val="0"/>
        </w:rPr>
        <w:t xml:space="preserve">, </w:t>
      </w:r>
      <w:r>
        <w:rPr>
          <w:i/>
        </w:rPr>
        <w:t>344</w:t>
      </w:r>
      <w:r>
        <w:rPr>
          <w:b w:val="0"/>
          <w:i w:val="0"/>
        </w:rPr>
        <w:t>, 1246843. DOI: 10.1126/science.1246843.</w:t>
      </w:r>
    </w:p>
    <w:p>
      <w:pPr>
        <w:spacing w:line="240" w:lineRule="auto" w:after="80"/>
        <w:jc w:val="both"/>
      </w:pPr>
      <w:r>
        <w:rPr>
          <w:b w:val="0"/>
          <w:i w:val="0"/>
        </w:rPr>
        <w:t xml:space="preserve">55. Rinaudo, M. Main properties and current applications of some polysaccharides as biomaterials. </w:t>
      </w:r>
      <w:r>
        <w:rPr>
          <w:i/>
        </w:rPr>
        <w:t>Polym. Int.</w:t>
      </w:r>
      <w:r>
        <w:rPr>
          <w:b w:val="0"/>
          <w:i w:val="0"/>
        </w:rPr>
        <w:t xml:space="preserve"> </w:t>
      </w:r>
      <w:r>
        <w:rPr>
          <w:b/>
          <w:i w:val="0"/>
        </w:rPr>
        <w:t>2008</w:t>
      </w:r>
      <w:r>
        <w:rPr>
          <w:b w:val="0"/>
          <w:i w:val="0"/>
        </w:rPr>
        <w:t xml:space="preserve">, </w:t>
      </w:r>
      <w:r>
        <w:rPr>
          <w:i/>
        </w:rPr>
        <w:t>57</w:t>
      </w:r>
      <w:r>
        <w:rPr>
          <w:b w:val="0"/>
          <w:i w:val="0"/>
        </w:rPr>
        <w:t>, 397–430. DOI: 10.1002/pi.2378.</w:t>
      </w:r>
    </w:p>
    <w:p>
      <w:pPr>
        <w:spacing w:line="240" w:lineRule="auto" w:after="80"/>
        <w:jc w:val="both"/>
      </w:pPr>
      <w:r>
        <w:rPr>
          <w:b w:val="0"/>
          <w:i w:val="0"/>
        </w:rPr>
        <w:t xml:space="preserve">56. Kuenneth, C.; Ramprasad, R. polyBERT: a chemical language model to enable fully machine-driven ultrafast polymer informatics. </w:t>
      </w:r>
      <w:r>
        <w:rPr>
          <w:i/>
        </w:rPr>
        <w:t>Nat. Commun.</w:t>
      </w:r>
      <w:r>
        <w:rPr>
          <w:b w:val="0"/>
          <w:i w:val="0"/>
        </w:rPr>
        <w:t xml:space="preserve"> </w:t>
      </w:r>
      <w:r>
        <w:rPr>
          <w:b/>
          <w:i w:val="0"/>
        </w:rPr>
        <w:t>2023</w:t>
      </w:r>
      <w:r>
        <w:rPr>
          <w:b w:val="0"/>
          <w:i w:val="0"/>
        </w:rPr>
        <w:t xml:space="preserve">, </w:t>
      </w:r>
      <w:r>
        <w:rPr>
          <w:i/>
        </w:rPr>
        <w:t>14</w:t>
      </w:r>
      <w:r>
        <w:rPr>
          <w:b w:val="0"/>
          <w:i w:val="0"/>
        </w:rPr>
        <w:t>, 4099. DOI: 10.1038/s41467-023-39868-6.</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4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val="0"/>
      <w:keepLines w:val="0"/>
      <w:widowControl/>
      <w:spacing w:before="120" w:after="40" w:line="240" w:lineRule="auto"/>
      <w:outlineLvl w:val="0"/>
    </w:pPr>
    <w:rPr>
      <w:rFonts w:asciiTheme="majorHAnsi" w:eastAsiaTheme="majorEastAsia" w:hAnsiTheme="majorHAnsi" w:cstheme="majorBidi" w:ascii="Times New Roman" w:hAnsi="Times New Roman" w:eastAsia="Times New Roman"/>
      <w:b/>
      <w:bCs/>
      <w:sz w:val="28"/>
      <w:szCs w:val="28"/>
    </w:rPr>
  </w:style>
  <w:style w:type="paragraph" w:styleId="Heading2">
    <w:name w:val="heading 2"/>
    <w:basedOn w:val="Normal"/>
    <w:next w:val="Normal"/>
    <w:link w:val="Heading2Char"/>
    <w:uiPriority w:val="9"/>
    <w:unhideWhenUsed/>
    <w:qFormat/>
    <w:rsid w:val="00FC693F"/>
    <w:pPr>
      <w:keepNext w:val="0"/>
      <w:keepLines w:val="0"/>
      <w:widowControl/>
      <w:spacing w:before="120" w:after="40" w:line="240" w:lineRule="auto"/>
      <w:outlineLvl w:val="1"/>
    </w:pPr>
    <w:rPr>
      <w:rFonts w:asciiTheme="majorHAnsi" w:eastAsiaTheme="majorEastAsia" w:hAnsiTheme="majorHAnsi" w:cstheme="majorBidi" w:ascii="Times New Roman" w:hAnsi="Times New Roman" w:eastAsia="Times New Roman"/>
      <w:b/>
      <w:bCs/>
      <w:sz w:val="26"/>
      <w:szCs w:val="26"/>
    </w:rPr>
  </w:style>
  <w:style w:type="paragraph" w:styleId="Heading3">
    <w:name w:val="heading 3"/>
    <w:basedOn w:val="Normal"/>
    <w:next w:val="Normal"/>
    <w:link w:val="Heading3Char"/>
    <w:uiPriority w:val="9"/>
    <w:unhideWhenUsed/>
    <w:qFormat/>
    <w:rsid w:val="00FC693F"/>
    <w:pPr>
      <w:keepNext w:val="0"/>
      <w:keepLines w:val="0"/>
      <w:widowControl/>
      <w:spacing w:before="120" w:after="40" w:line="240" w:lineRule="auto"/>
      <w:outlineLvl w:val="2"/>
    </w:pPr>
    <w:rPr>
      <w:rFonts w:asciiTheme="majorHAnsi" w:eastAsiaTheme="majorEastAsia" w:hAnsiTheme="majorHAnsi" w:cstheme="majorBidi" w:ascii="Times New Roman" w:hAnsi="Times New Roman" w:eastAsia="Times New Roman"/>
      <w:b/>
      <w:bCs/>
      <w:sz w:val="24"/>
    </w:rPr>
  </w:style>
  <w:style w:type="paragraph" w:styleId="Heading4">
    <w:name w:val="heading 4"/>
    <w:basedOn w:val="Normal"/>
    <w:next w:val="Normal"/>
    <w:link w:val="Heading4Char"/>
    <w:uiPriority w:val="9"/>
    <w:semiHidden/>
    <w:unhideWhenUsed/>
    <w:qFormat/>
    <w:rsid w:val="00FC693F"/>
    <w:pPr>
      <w:keepNext w:val="0"/>
      <w:keepLines w:val="0"/>
      <w:widowControl/>
      <w:spacing w:before="120" w:after="40" w:line="240" w:lineRule="auto"/>
      <w:outlineLvl w:val="3"/>
    </w:pPr>
    <w:rPr>
      <w:rFonts w:asciiTheme="majorHAnsi" w:eastAsiaTheme="majorEastAsia" w:hAnsiTheme="majorHAnsi" w:cstheme="majorBidi" w:ascii="Times New Roman" w:hAnsi="Times New Roman" w:eastAsia="Times New Roman"/>
      <w:b/>
      <w:bCs/>
      <w:i/>
      <w:iCs/>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60"/>
      <w:contextualSpacing/>
    </w:pPr>
    <w:rPr>
      <w:rFonts w:ascii="Times New Roman" w:hAnsi="Times New Roman"/>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