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Biopolymers: Structure, Properties and Performance Limits</w:t>
      </w:r>
    </w:p>
    <w:p>
      <w:pPr>
        <w:jc w:val="both"/>
      </w:pPr>
      <w:r>
        <w:rPr>
          <w:i/>
        </w:rPr>
        <w:t>[Zhang Xubo] ([A0359670R]) and [Author Two] ([Matric No.])</w:t>
      </w:r>
    </w:p>
    <w:p>
      <w:r>
        <w:rPr>
          <w:b/>
          <w:i/>
        </w:rPr>
        <w:t>AI Tool Declaration.</w:t>
      </w:r>
      <w:r>
        <w:rPr>
          <w:b w:val="0"/>
          <w:i/>
        </w:rPr>
        <w:t xml:space="preserve"> We use Claude (Anthropic) to polish the paper and correct grammatical errors, fix the Python/RDKit/Matplotlib codes for the charts, search and verify the references, and streamline the report content. The author is responsible for all the chemical data, the argumentation content, the original writing of the article and the originality, and assumes full responsibility for the content and quality of the submitted work.</w:t>
      </w:r>
    </w:p>
    <w:p>
      <w:pPr>
        <w:pStyle w:val="Heading1"/>
      </w:pPr>
      <w:r>
        <w:t>Abstract</w:t>
      </w:r>
    </w:p>
    <w:p>
      <w:pPr>
        <w:jc w:val="both"/>
      </w:pPr>
      <w:r>
        <w:rPr>
          <w:b w:val="0"/>
          <w:i w:val="0"/>
        </w:rPr>
        <w:t>This review is organised around one choice. We sort biopolymers by the bond that repeats along the backbone rather than by the organism they come from, and we describe what each material does and where it is used before explaining it from structure. A few things recur across the families. Strength is rarely the limit; what caps performance is thermal stability and the response to water. Crystallinity is the other recurring theme, and it cuts both ways, because the crystalline order that stiffens a polymer also blocks water and slows the hydrolysis or enzymatic attack that degrades it. A brief comparison of natural rubber with synthetic SBR shows the same backbone-versus-formulation tension inside a single application. All figures were generated by code, from cited data and from structures checked for stereochemistry.</w:t>
      </w:r>
    </w:p>
    <w:p>
      <w:pPr>
        <w:pStyle w:val="Heading1"/>
      </w:pPr>
      <w:r>
        <w:t>1. Introduction and Definition</w:t>
      </w:r>
    </w:p>
    <w:p>
      <w:pPr>
        <w:jc w:val="both"/>
      </w:pPr>
      <w:r>
        <w:rPr>
          <w:b w:val="0"/>
          <w:i w:val="0"/>
        </w:rPr>
        <w:t xml:space="preserve">A biopolymer is a large molecule that a living organism builds. Polysaccharides, proteins, nucleic acids, </w:t>
      </w:r>
      <w:r>
        <w:rPr>
          <w:i/>
        </w:rPr>
        <w:t>cis</w:t>
      </w:r>
      <w:r>
        <w:rPr>
          <w:b w:val="0"/>
          <w:i w:val="0"/>
        </w:rPr>
        <w:t>-1,4-polyisoprene and lignin between them account for most of the organic polymer on Earth [1]. We also include polymers that are chemically polymerised from a monomer taken from biomass. Polylactic acid (PLA) is a typical example. Because its performance is closer to that of the true biopolymers, we keep comparing it with them throughout the discussion. The difference between these chains and synthetic polymers really lies mainly in how they are synthesised. Their synthesis follows a specific template, so chain length and sequence are fixed closely, and proteins and nucleic acids come out almost perfectly uniform, with a dispersity of very nearly 1. The monomers a cell supplies are largely single enantiomers, which makes the chains stereoregular for free. On top of that, almost every repeat unit carries a hydroxyl, an amide or a carbonyl group, and those groups pull neighbouring chains together much harder than anything in polyethylene or polypropylene. Many of the trends in this review can be related to these structural features, though their importance differs between families. The polar groups and template synthesis underlie the stiffness and high crystallinity of many of these materials, and are part of why several are also brittle, take up water, or begin to decompose near their melting point (Section 5.4).</w:t>
      </w:r>
    </w:p>
    <w:p>
      <w:pPr>
        <w:jc w:val="both"/>
      </w:pPr>
      <w:r>
        <w:rPr>
          <w:b w:val="0"/>
          <w:i w:val="0"/>
        </w:rPr>
        <w:t>The sections that follow take this in order: how biopolymers are classified, the individual families, molecular weight, the properties they share, the comparison with synthetic polymers, and applications.</w:t>
      </w:r>
    </w:p>
    <w:p>
      <w:pPr>
        <w:pStyle w:val="Heading1"/>
      </w:pPr>
      <w:r>
        <w:t>2. Types of Biopolymers</w:t>
      </w:r>
    </w:p>
    <w:p>
      <w:pPr>
        <w:jc w:val="both"/>
      </w:pPr>
      <w:r>
        <w:rPr>
          <w:b w:val="0"/>
          <w:i w:val="0"/>
        </w:rPr>
        <w:t>The usual first cut sorts biopolymers by origin: pulled out of biomass, made by micro-organisms, or polymerised from a bio-based monomer. Origin turns out to be a weak predictor of how a material behaves. Two polymers with the same origin can melt, process and rot in completely unlike ways, and two with different origins often end up much alike. The linkage that repeats along the backbone is the more useful handle, since it strongly influences whether a material can be melted at all and how it comes apart. So the review is built around backbone chemistry (Table 1). Origin stays on as a small tag against each material, because it still explains why molecular weight and purity drift about within a single class (Section 4).</w:t>
      </w:r>
    </w:p>
    <w:p>
      <w:pPr>
        <w:spacing w:line="240" w:lineRule="auto" w:after="40"/>
      </w:pPr>
      <w:r>
        <w:rPr>
          <w:b/>
          <w:i w:val="0"/>
          <w:sz w:val="20"/>
        </w:rPr>
        <w:t>Table 1.</w:t>
      </w:r>
      <w:r>
        <w:rPr>
          <w:b w:val="0"/>
          <w:i w:val="0"/>
          <w:sz w:val="20"/>
        </w:rPr>
        <w:t xml:space="preserve"> Classification of biopolymers by backbone chemistry. Origin (extracted / microbial / bio-monomer) is a secondary property, not the primary split.</w:t>
      </w:r>
    </w:p>
    <w:tbl>
      <w:tblPr>
        <w:tblW w:type="auto" w:w="0"/>
        <w:jc w:val="center"/>
        <w:tblLayout w:type="fixed"/>
        <w:tblLook w:firstColumn="1" w:firstRow="1" w:lastColumn="0" w:lastRow="0" w:noHBand="0" w:noVBand="1" w:val="04A0"/>
        <w:tblLayout w:type="fixed"/>
      </w:tblPr>
      <w:tblGrid>
        <w:gridCol w:w="1867"/>
        <w:gridCol w:w="1466"/>
        <w:gridCol w:w="2276"/>
        <w:gridCol w:w="3318"/>
      </w:tblGrid>
      <w:tr>
        <w:tc>
          <w:tcPr>
            <w:tcW w:type="dxa" w:w="1867"/>
            <w:tcBorders>
              <w:top w:val="single" w:sz="8" w:space="0" w:color="000000"/>
              <w:bottom w:val="single" w:sz="8" w:space="0" w:color="000000"/>
            </w:tcBorders>
          </w:tcPr>
          <w:p>
            <w:pPr>
              <w:spacing w:after="10" w:before="10" w:line="240" w:lineRule="auto"/>
            </w:pPr>
            <w:r>
              <w:rPr>
                <w:rFonts w:ascii="Arial" w:hAnsi="Arial"/>
                <w:b/>
                <w:i w:val="0"/>
                <w:sz w:val="16"/>
              </w:rPr>
              <w:t>Backbone class</w:t>
            </w:r>
          </w:p>
        </w:tc>
        <w:tc>
          <w:tcPr>
            <w:tcW w:type="dxa" w:w="1467"/>
            <w:tcBorders>
              <w:top w:val="single" w:sz="8" w:space="0" w:color="000000"/>
              <w:bottom w:val="single" w:sz="8" w:space="0" w:color="000000"/>
            </w:tcBorders>
          </w:tcPr>
          <w:p>
            <w:pPr>
              <w:spacing w:after="10" w:before="10" w:line="240" w:lineRule="auto"/>
            </w:pPr>
            <w:r>
              <w:rPr>
                <w:rFonts w:ascii="Arial" w:hAnsi="Arial"/>
                <w:b/>
                <w:i w:val="0"/>
                <w:sz w:val="16"/>
              </w:rPr>
              <w:t>Repeating linkage</w:t>
            </w:r>
          </w:p>
        </w:tc>
        <w:tc>
          <w:tcPr>
            <w:tcW w:type="dxa" w:w="2276"/>
            <w:tcBorders>
              <w:top w:val="single" w:sz="8" w:space="0" w:color="000000"/>
              <w:bottom w:val="single" w:sz="8" w:space="0" w:color="000000"/>
            </w:tcBorders>
          </w:tcPr>
          <w:p>
            <w:pPr>
              <w:spacing w:after="10" w:before="10" w:line="240" w:lineRule="auto"/>
            </w:pPr>
            <w:r>
              <w:rPr>
                <w:rFonts w:ascii="Arial" w:hAnsi="Arial"/>
                <w:b/>
                <w:i w:val="0"/>
                <w:sz w:val="16"/>
              </w:rPr>
              <w:t>Representative materials</w:t>
            </w:r>
          </w:p>
        </w:tc>
        <w:tc>
          <w:tcPr>
            <w:tcW w:type="dxa" w:w="3318"/>
            <w:tcBorders>
              <w:top w:val="single" w:sz="8" w:space="0" w:color="000000"/>
              <w:bottom w:val="single" w:sz="8" w:space="0" w:color="000000"/>
            </w:tcBorders>
          </w:tcPr>
          <w:p>
            <w:pPr>
              <w:spacing w:after="10" w:before="10" w:line="240" w:lineRule="auto"/>
            </w:pPr>
            <w:r>
              <w:rPr>
                <w:rFonts w:ascii="Arial" w:hAnsi="Arial"/>
                <w:b/>
                <w:i w:val="0"/>
                <w:sz w:val="16"/>
              </w:rPr>
              <w:t>Characteristic behaviour</w:t>
            </w:r>
          </w:p>
        </w:tc>
      </w:tr>
      <w:tr>
        <w:tc>
          <w:tcPr>
            <w:tcW w:type="dxa" w:w="1867"/>
            <w:tcBorders>
              <w:top w:val="nil"/>
              <w:bottom w:val="nil"/>
            </w:tcBorders>
          </w:tcPr>
          <w:p>
            <w:pPr>
              <w:spacing w:after="10" w:before="10" w:line="240" w:lineRule="auto"/>
            </w:pPr>
            <w:r>
              <w:rPr>
                <w:rFonts w:ascii="Arial" w:hAnsi="Arial"/>
                <w:b w:val="0"/>
                <w:i w:val="0"/>
                <w:sz w:val="16"/>
              </w:rPr>
              <w:t>Polysaccharide</w:t>
            </w:r>
          </w:p>
        </w:tc>
        <w:tc>
          <w:tcPr>
            <w:tcW w:type="dxa" w:w="1467"/>
            <w:tcBorders>
              <w:top w:val="nil"/>
              <w:bottom w:val="nil"/>
            </w:tcBorders>
          </w:tcPr>
          <w:p>
            <w:pPr>
              <w:spacing w:after="10" w:before="10" w:line="240" w:lineRule="auto"/>
            </w:pPr>
            <w:r>
              <w:rPr>
                <w:rFonts w:ascii="Arial" w:hAnsi="Arial"/>
                <w:b w:val="0"/>
                <w:i w:val="0"/>
                <w:sz w:val="16"/>
              </w:rPr>
              <w:t>glycosidic (acetal)</w:t>
            </w:r>
          </w:p>
        </w:tc>
        <w:tc>
          <w:tcPr>
            <w:tcW w:type="dxa" w:w="2276"/>
            <w:tcBorders>
              <w:top w:val="nil"/>
              <w:bottom w:val="nil"/>
            </w:tcBorders>
          </w:tcPr>
          <w:p>
            <w:pPr>
              <w:spacing w:after="10" w:before="10" w:line="240" w:lineRule="auto"/>
            </w:pPr>
            <w:r>
              <w:rPr>
                <w:rFonts w:ascii="Arial" w:hAnsi="Arial"/>
                <w:b w:val="0"/>
                <w:i w:val="0"/>
                <w:sz w:val="16"/>
              </w:rPr>
              <w:t>cellulose, starch, chitosan, alginate</w:t>
            </w:r>
          </w:p>
        </w:tc>
        <w:tc>
          <w:tcPr>
            <w:tcW w:type="dxa" w:w="3318"/>
            <w:tcBorders>
              <w:top w:val="nil"/>
              <w:bottom w:val="nil"/>
            </w:tcBorders>
          </w:tcPr>
          <w:p>
            <w:pPr>
              <w:spacing w:after="10" w:before="10" w:line="240" w:lineRule="auto"/>
            </w:pPr>
            <w:r>
              <w:rPr>
                <w:rFonts w:ascii="Arial" w:hAnsi="Arial"/>
                <w:b w:val="0"/>
                <w:i w:val="0"/>
                <w:sz w:val="16"/>
              </w:rPr>
              <w:t>dense inter-chain hydrogen bonding; decomposition before melting; enzymatic degradation</w:t>
            </w:r>
          </w:p>
        </w:tc>
      </w:tr>
      <w:tr>
        <w:tc>
          <w:tcPr>
            <w:tcW w:type="dxa" w:w="1867"/>
            <w:tcBorders>
              <w:top w:val="nil"/>
              <w:bottom w:val="nil"/>
            </w:tcBorders>
          </w:tcPr>
          <w:p>
            <w:pPr>
              <w:spacing w:after="10" w:before="10" w:line="240" w:lineRule="auto"/>
            </w:pPr>
            <w:r>
              <w:rPr>
                <w:rFonts w:ascii="Arial" w:hAnsi="Arial"/>
                <w:b w:val="0"/>
                <w:i w:val="0"/>
                <w:sz w:val="16"/>
              </w:rPr>
              <w:t>Polyester</w:t>
            </w:r>
          </w:p>
        </w:tc>
        <w:tc>
          <w:tcPr>
            <w:tcW w:type="dxa" w:w="1467"/>
            <w:tcBorders>
              <w:top w:val="nil"/>
              <w:bottom w:val="nil"/>
            </w:tcBorders>
          </w:tcPr>
          <w:p>
            <w:pPr>
              <w:spacing w:after="10" w:before="10" w:line="240" w:lineRule="auto"/>
            </w:pPr>
            <w:r>
              <w:rPr>
                <w:rFonts w:ascii="Arial" w:hAnsi="Arial"/>
                <w:b w:val="0"/>
                <w:i w:val="0"/>
                <w:sz w:val="16"/>
              </w:rPr>
              <w:t>ester</w:t>
            </w:r>
          </w:p>
        </w:tc>
        <w:tc>
          <w:tcPr>
            <w:tcW w:type="dxa" w:w="2276"/>
            <w:tcBorders>
              <w:top w:val="nil"/>
              <w:bottom w:val="nil"/>
            </w:tcBorders>
          </w:tcPr>
          <w:p>
            <w:pPr>
              <w:spacing w:after="10" w:before="10" w:line="240" w:lineRule="auto"/>
            </w:pPr>
            <w:r>
              <w:rPr>
                <w:rFonts w:ascii="Arial" w:hAnsi="Arial"/>
                <w:b w:val="0"/>
                <w:i w:val="0"/>
                <w:sz w:val="16"/>
              </w:rPr>
              <w:t>PHA, PLA</w:t>
            </w:r>
          </w:p>
        </w:tc>
        <w:tc>
          <w:tcPr>
            <w:tcW w:type="dxa" w:w="3318"/>
            <w:tcBorders>
              <w:top w:val="nil"/>
              <w:bottom w:val="nil"/>
            </w:tcBorders>
          </w:tcPr>
          <w:p>
            <w:pPr>
              <w:spacing w:after="10" w:before="10" w:line="240" w:lineRule="auto"/>
            </w:pPr>
            <w:r>
              <w:rPr>
                <w:rFonts w:ascii="Arial" w:hAnsi="Arial"/>
                <w:b w:val="0"/>
                <w:i w:val="0"/>
                <w:sz w:val="16"/>
              </w:rPr>
              <w:t>melt-processable but thermally labile; autocatalytic hydrolysis</w:t>
            </w:r>
          </w:p>
        </w:tc>
      </w:tr>
      <w:tr>
        <w:tc>
          <w:tcPr>
            <w:tcW w:type="dxa" w:w="1867"/>
            <w:tcBorders>
              <w:top w:val="nil"/>
              <w:bottom w:val="nil"/>
            </w:tcBorders>
          </w:tcPr>
          <w:p>
            <w:pPr>
              <w:spacing w:after="10" w:before="10" w:line="240" w:lineRule="auto"/>
            </w:pPr>
            <w:r>
              <w:rPr>
                <w:rFonts w:ascii="Arial" w:hAnsi="Arial"/>
                <w:b w:val="0"/>
                <w:i w:val="0"/>
                <w:sz w:val="16"/>
              </w:rPr>
              <w:t>Protein</w:t>
            </w:r>
          </w:p>
        </w:tc>
        <w:tc>
          <w:tcPr>
            <w:tcW w:type="dxa" w:w="1467"/>
            <w:tcBorders>
              <w:top w:val="nil"/>
              <w:bottom w:val="nil"/>
            </w:tcBorders>
          </w:tcPr>
          <w:p>
            <w:pPr>
              <w:spacing w:after="10" w:before="10" w:line="240" w:lineRule="auto"/>
            </w:pPr>
            <w:r>
              <w:rPr>
                <w:rFonts w:ascii="Arial" w:hAnsi="Arial"/>
                <w:b w:val="0"/>
                <w:i w:val="0"/>
                <w:sz w:val="16"/>
              </w:rPr>
              <w:t>amide</w:t>
            </w:r>
          </w:p>
        </w:tc>
        <w:tc>
          <w:tcPr>
            <w:tcW w:type="dxa" w:w="2276"/>
            <w:tcBorders>
              <w:top w:val="nil"/>
              <w:bottom w:val="nil"/>
            </w:tcBorders>
          </w:tcPr>
          <w:p>
            <w:pPr>
              <w:spacing w:after="10" w:before="10" w:line="240" w:lineRule="auto"/>
            </w:pPr>
            <w:r>
              <w:rPr>
                <w:rFonts w:ascii="Arial" w:hAnsi="Arial"/>
                <w:b w:val="0"/>
                <w:i w:val="0"/>
                <w:sz w:val="16"/>
              </w:rPr>
              <w:t>silk fibroin, collagen/gelatin</w:t>
            </w:r>
          </w:p>
        </w:tc>
        <w:tc>
          <w:tcPr>
            <w:tcW w:type="dxa" w:w="3318"/>
            <w:tcBorders>
              <w:top w:val="nil"/>
              <w:bottom w:val="nil"/>
            </w:tcBorders>
          </w:tcPr>
          <w:p>
            <w:pPr>
              <w:spacing w:after="10" w:before="10" w:line="240" w:lineRule="auto"/>
            </w:pPr>
            <w:r>
              <w:rPr>
                <w:rFonts w:ascii="Arial" w:hAnsi="Arial"/>
                <w:b w:val="0"/>
                <w:i w:val="0"/>
                <w:sz w:val="16"/>
              </w:rPr>
              <w:t>sequence-defined and monodisperse; conformation-controlled properties</w:t>
            </w:r>
          </w:p>
        </w:tc>
      </w:tr>
      <w:tr>
        <w:tc>
          <w:tcPr>
            <w:tcW w:type="dxa" w:w="1867"/>
            <w:tcBorders>
              <w:top w:val="nil"/>
              <w:bottom w:val="nil"/>
            </w:tcBorders>
          </w:tcPr>
          <w:p>
            <w:pPr>
              <w:spacing w:after="10" w:before="10" w:line="240" w:lineRule="auto"/>
            </w:pPr>
            <w:r>
              <w:rPr>
                <w:rFonts w:ascii="Arial" w:hAnsi="Arial"/>
                <w:b w:val="0"/>
                <w:i w:val="0"/>
                <w:sz w:val="16"/>
              </w:rPr>
              <w:t>Polyphenolic</w:t>
            </w:r>
          </w:p>
        </w:tc>
        <w:tc>
          <w:tcPr>
            <w:tcW w:type="dxa" w:w="1467"/>
            <w:tcBorders>
              <w:top w:val="nil"/>
              <w:bottom w:val="nil"/>
            </w:tcBorders>
          </w:tcPr>
          <w:p>
            <w:pPr>
              <w:spacing w:after="10" w:before="10" w:line="240" w:lineRule="auto"/>
            </w:pPr>
            <w:r>
              <w:rPr>
                <w:rFonts w:ascii="Arial" w:hAnsi="Arial"/>
                <w:b w:val="0"/>
                <w:i w:val="0"/>
                <w:sz w:val="16"/>
              </w:rPr>
              <w:t>β-O-4 ether, C–C</w:t>
            </w:r>
          </w:p>
        </w:tc>
        <w:tc>
          <w:tcPr>
            <w:tcW w:type="dxa" w:w="2276"/>
            <w:tcBorders>
              <w:top w:val="nil"/>
              <w:bottom w:val="nil"/>
            </w:tcBorders>
          </w:tcPr>
          <w:p>
            <w:pPr>
              <w:spacing w:after="10" w:before="10" w:line="240" w:lineRule="auto"/>
            </w:pPr>
            <w:r>
              <w:rPr>
                <w:rFonts w:ascii="Arial" w:hAnsi="Arial"/>
                <w:b w:val="0"/>
                <w:i w:val="0"/>
                <w:sz w:val="16"/>
              </w:rPr>
              <w:t>lignin</w:t>
            </w:r>
          </w:p>
        </w:tc>
        <w:tc>
          <w:tcPr>
            <w:tcW w:type="dxa" w:w="3318"/>
            <w:tcBorders>
              <w:top w:val="nil"/>
              <w:bottom w:val="nil"/>
            </w:tcBorders>
          </w:tcPr>
          <w:p>
            <w:pPr>
              <w:spacing w:after="10" w:before="10" w:line="240" w:lineRule="auto"/>
            </w:pPr>
            <w:r>
              <w:rPr>
                <w:rFonts w:ascii="Arial" w:hAnsi="Arial"/>
                <w:b w:val="0"/>
                <w:i w:val="0"/>
                <w:sz w:val="16"/>
              </w:rPr>
              <w:t>irregular, cross-linked, amorphous; chemically recalcitrant</w:t>
            </w:r>
          </w:p>
        </w:tc>
      </w:tr>
      <w:tr>
        <w:tc>
          <w:tcPr>
            <w:tcW w:type="dxa" w:w="1867"/>
            <w:tcBorders>
              <w:top w:val="nil"/>
              <w:bottom w:val="single" w:sz="8" w:space="0" w:color="000000"/>
            </w:tcBorders>
          </w:tcPr>
          <w:p>
            <w:pPr>
              <w:spacing w:after="10" w:before="10" w:line="240" w:lineRule="auto"/>
            </w:pPr>
            <w:r>
              <w:rPr>
                <w:rFonts w:ascii="Arial" w:hAnsi="Arial"/>
                <w:b w:val="0"/>
                <w:i w:val="0"/>
                <w:sz w:val="16"/>
              </w:rPr>
              <w:t>Polyisoprene</w:t>
            </w:r>
          </w:p>
        </w:tc>
        <w:tc>
          <w:tcPr>
            <w:tcW w:type="dxa" w:w="1467"/>
            <w:tcBorders>
              <w:top w:val="nil"/>
              <w:bottom w:val="single" w:sz="8" w:space="0" w:color="000000"/>
            </w:tcBorders>
          </w:tcPr>
          <w:p>
            <w:pPr>
              <w:spacing w:after="10" w:before="10" w:line="240" w:lineRule="auto"/>
            </w:pPr>
            <w:r>
              <w:rPr>
                <w:rFonts w:ascii="Arial" w:hAnsi="Arial"/>
                <w:b w:val="0"/>
                <w:i w:val="0"/>
                <w:sz w:val="16"/>
              </w:rPr>
              <w:t>C–C</w:t>
            </w:r>
          </w:p>
        </w:tc>
        <w:tc>
          <w:tcPr>
            <w:tcW w:type="dxa" w:w="2276"/>
            <w:tcBorders>
              <w:top w:val="nil"/>
              <w:bottom w:val="single" w:sz="8" w:space="0" w:color="000000"/>
            </w:tcBorders>
          </w:tcPr>
          <w:p>
            <w:pPr>
              <w:spacing w:after="10" w:before="10" w:line="240" w:lineRule="auto"/>
            </w:pPr>
            <w:r>
              <w:rPr>
                <w:rFonts w:ascii="Arial" w:hAnsi="Arial"/>
                <w:b w:val="0"/>
                <w:i w:val="0"/>
                <w:sz w:val="16"/>
              </w:rPr>
              <w:t>natural rubber</w:t>
            </w:r>
          </w:p>
        </w:tc>
        <w:tc>
          <w:tcPr>
            <w:tcW w:type="dxa" w:w="3318"/>
            <w:tcBorders>
              <w:top w:val="nil"/>
              <w:bottom w:val="single" w:sz="8" w:space="0" w:color="000000"/>
            </w:tcBorders>
          </w:tcPr>
          <w:p>
            <w:pPr>
              <w:spacing w:after="10" w:before="10" w:line="240" w:lineRule="auto"/>
            </w:pPr>
            <w:r>
              <w:rPr>
                <w:rFonts w:ascii="Arial" w:hAnsi="Arial"/>
                <w:b w:val="0"/>
                <w:i w:val="0"/>
                <w:sz w:val="16"/>
              </w:rPr>
              <w:t>elastomeric; strain-induced crystallisation</w:t>
            </w:r>
          </w:p>
        </w:tc>
      </w:tr>
    </w:tbl>
    <w:p>
      <w:pPr>
        <w:spacing w:after="0" w:line="240" w:lineRule="auto"/>
      </w:pPr>
    </w:p>
    <w:p>
      <w:pPr>
        <w:pStyle w:val="Heading1"/>
      </w:pPr>
      <w:r>
        <w:t>3. Structure-Property Relationships of the Major Biopolymer Families</w:t>
      </w:r>
    </w:p>
    <w:p>
      <w:pPr>
        <w:jc w:val="both"/>
      </w:pPr>
      <w:r>
        <w:rPr>
          <w:b w:val="0"/>
          <w:i w:val="0"/>
        </w:rPr>
        <w:t>The families are taken in turn below. Table 2 carries the numbers, Fig. 1 the repeat units and Fig. 2 the higher-order structures. The point that keeps coming back is that backbone chemistry, more than the biological source, is a useful first predictor of melting, attack by water or enzymes, and mechanical behaviour.</w:t>
      </w:r>
    </w:p>
    <w:p>
      <w:pPr>
        <w:keepNext/>
        <w:spacing w:after="40"/>
        <w:jc w:val="center"/>
      </w:pPr>
      <w:r>
        <w:drawing>
          <wp:inline xmlns:a="http://schemas.openxmlformats.org/drawingml/2006/main" xmlns:pic="http://schemas.openxmlformats.org/drawingml/2006/picture">
            <wp:extent cx="4114800" cy="2517048"/>
            <wp:docPr id="1" name="Picture 1"/>
            <wp:cNvGraphicFramePr>
              <a:graphicFrameLocks noChangeAspect="1"/>
            </wp:cNvGraphicFramePr>
            <a:graphic>
              <a:graphicData uri="http://schemas.openxmlformats.org/drawingml/2006/picture">
                <pic:pic>
                  <pic:nvPicPr>
                    <pic:cNvPr id="0" name="fig_repeat_units_all.png"/>
                    <pic:cNvPicPr/>
                  </pic:nvPicPr>
                  <pic:blipFill>
                    <a:blip r:embed="rId10"/>
                    <a:stretch>
                      <a:fillRect/>
                    </a:stretch>
                  </pic:blipFill>
                  <pic:spPr>
                    <a:xfrm>
                      <a:off x="0" y="0"/>
                      <a:ext cx="4114800" cy="2517048"/>
                    </a:xfrm>
                    <a:prstGeom prst="rect"/>
                  </pic:spPr>
                </pic:pic>
              </a:graphicData>
            </a:graphic>
          </wp:inline>
        </w:drawing>
      </w:r>
    </w:p>
    <w:p>
      <w:pPr>
        <w:spacing w:line="240" w:lineRule="auto" w:after="80"/>
        <w:jc w:val="center"/>
      </w:pPr>
      <w:r>
        <w:rPr>
          <w:i/>
          <w:sz w:val="20"/>
        </w:rPr>
        <w:t>Figure 1. Repeat units generated with RDKit from stereochemistry-checked SMILES, coloured by backbone class. (a–e) polysaccharides cellulose, amylose, chitosan, alginate M, alginate G; (a)/(b) differ only at C1, (d)/(e) only at C5. (f–g) polyesters PHB, PLLA, with (R)/(S) marked. (h–i) proteins silk fibroin (Gly-Ala)ₙ, collagen Gly-Pro-Hyp. (j–l) lignin precursors p-coumaryl, coniferyl and sinapyl alcohol (0, 1, 2 methoxy groups). (m) cis-1,4-polyisoprene.</w:t>
      </w:r>
    </w:p>
    <w:p>
      <w:pPr>
        <w:pStyle w:val="Heading2"/>
      </w:pPr>
      <w:r>
        <w:t>3.1 Polysaccharides</w:t>
      </w:r>
    </w:p>
    <w:p>
      <w:pPr>
        <w:jc w:val="both"/>
      </w:pPr>
      <w:r>
        <w:rPr>
          <w:b w:val="0"/>
          <w:i w:val="0"/>
        </w:rPr>
        <w:t>Nothing in the review is as stiff as cellulose. Its crystal modulus along the chain axis is around 130 to 150 GPa [35], and even regenerated fibres reach 10 to 30 GPa [36]. There is no melting step to use: cellulose decomposes near 300 °C, so it is shaped from solution, as Lyocell and viscose fibre [36], clear film, or the nanocrystals and nanofibrils now used as filler [2]. The linear β-(1→4) chain of Fig. 1a explains this. It lies flat as a ribbon, hydrogen bonds stack the ribbons into the Iα and Iβ sheets of Fig. 2a, and pulling those sheets apart costs more than breaking a backbone bond [33,34]. Only solvents that dismantle the hydrogen-bond network dissolve it, such as NMMO in the Lyocell process [37] or LiCl in DMAc.</w:t>
      </w:r>
    </w:p>
    <w:p>
      <w:pPr>
        <w:jc w:val="both"/>
      </w:pPr>
      <w:r>
        <w:rPr>
          <w:b w:val="0"/>
          <w:i w:val="0"/>
        </w:rPr>
        <w:t>Starch is almost the opposite. As thermoplastic starch it is soft and very cheap, with a modulus of only 0.02 to 1 GPa, but it takes up moisture and slowly recrystallises on the shelf, a process called retrogradation [38]. So it is seldom used alone; the usual form is a blend with PLA or PBAT, for compostable bags, foamed trays and mulch film. Here the arrangement of the chains matters more than their chemistry: amylose and amylopectin give only a weak, humidity-reversible crystallinity, and the amylose coils into a helix loose enough for water to enter and soften it (Fig. 2b).</w:t>
      </w:r>
    </w:p>
    <w:p>
      <w:pPr>
        <w:jc w:val="both"/>
      </w:pPr>
      <w:r>
        <w:rPr>
          <w:b w:val="0"/>
          <w:i w:val="0"/>
        </w:rPr>
        <w:t>The other two polysaccharides are used for chemistry, not load-bearing. In dilute acid, chitosan, whose films run 1 to 4 GPa in modulus, becomes a polycation, which makes it antimicrobial, metal-binding and mucoadhesive, hence its use in wound dressings, antimicrobial coatings and water treatment [39]; its degree of deacetylation fixes solubility and charge, and because raising it with alkali also cuts the chain, the most deacetylated grades have the lowest molecular weight [3]. Alginate is different again: a soft gel forms the moment Ca²⁺ ions bridge its guluronate blocks into an egg-box junction (Fig. 2c) [4], and a chelating agent reverses it, which underlies alginate hydrogels for wound dressings, cell encapsulation and bioprinting and its use as a food thickener; the guluronate fraction sets how stiff or brittle the gel is. Hyaluronic acid, carrageenan, xanthan and pectin follow the same logic.</w:t>
      </w:r>
    </w:p>
    <w:p>
      <w:pPr>
        <w:pStyle w:val="Heading2"/>
      </w:pPr>
      <w:r>
        <w:t>3.2 Polyesters: PHA and PLA</w:t>
      </w:r>
    </w:p>
    <w:p>
      <w:pPr>
        <w:jc w:val="both"/>
      </w:pPr>
      <w:r>
        <w:rPr>
          <w:b w:val="0"/>
          <w:i w:val="0"/>
        </w:rPr>
        <w:t xml:space="preserve">Two polyesters matter here, and they are not alike. PHB, the archetype of PHA and drawn in Fig. 1f, is stiff at 1.5 to 4 GPa, brittle with an elongation at break of only 1.5 to 8%, fully biodegradable, and used for rigid packaging, coatings and compostable items. Its processing window is the narrowest in the review, about 20 °C, because PHB breaks up by a six-membered-ring </w:t>
      </w:r>
      <w:r>
        <w:rPr>
          <w:i/>
        </w:rPr>
        <w:t>cis</w:t>
      </w:r>
      <w:r>
        <w:rPr>
          <w:b w:val="0"/>
          <w:i w:val="0"/>
        </w:rPr>
        <w:t>-elimination as soon as it is heated past melting [5]; the PHBV and PHBHHx copolymers stretch it to around 55 °C at some cost in stiffness. The polyester used at scale, though, is PLA: 3D-printer filament, food serviceware, fibre, and resorbable sutures as the copolymer PLGA. Its modulus is 2.5 to 4 GPa, but a glass transition near 60 °C keeps its heat ceiling low. A useful molecular weight needs ring-opening polymerisation of lactide over Sn(Oct)₂ [40,41], and mixing the two enantiomers gives a PLLA/PDLA stereocomplex that melts about 50 °C higher because the opposite-handed chains pack more tightly [6,7]. As Fig. 2d shows, both polyesters crystallise as helices that still melt rather than decompose. PBS and PEF run on the same ester logic.</w:t>
      </w:r>
    </w:p>
    <w:p>
      <w:pPr>
        <w:pStyle w:val="Heading2"/>
      </w:pPr>
      <w:r>
        <w:t>3.3 Protein-based Polymers</w:t>
      </w:r>
    </w:p>
    <w:p>
      <w:pPr>
        <w:jc w:val="both"/>
      </w:pPr>
      <w:r>
        <w:rPr>
          <w:b w:val="0"/>
          <w:i w:val="0"/>
        </w:rPr>
        <w:t>Being strong and tough at once is rare in a polymer, and silk fibroin (Fig. 1h) manages both, which is why it serves as a premium suture, tissue scaffold and benchmark tough fibre. The mechanism, in Fig. 2e, is β-sheet nanocrystallites a few nanometres across in a soft amorphous matrix [8]. Collagen and its denatured form gelatin go into hydrogels, scaffolds and encapsulants; a stereoelectronic effect from hydroxyproline holds the Gly-X-Y triple helix of collagen together (Fig. 2f) [45], and once heat unwinds it into gelatin it does not fold back. Zein, casein and soy protein form films but bear no real load. One thing sets this family apart: every chain is copied from a ribosomal template, so the chains are close to a single length, with a much narrower molecular-size distribution than is typical of conventional non-templated polymerisation.</w:t>
      </w:r>
    </w:p>
    <w:p>
      <w:pPr>
        <w:pStyle w:val="Heading2"/>
      </w:pPr>
      <w:r>
        <w:t>3.4 Lignin</w:t>
      </w:r>
    </w:p>
    <w:p>
      <w:pPr>
        <w:jc w:val="both"/>
      </w:pPr>
      <w:r>
        <w:rPr>
          <w:b w:val="0"/>
          <w:i w:val="0"/>
        </w:rPr>
        <w:t>After cellulose, lignin is the most abundant biopolymer on land, and pulp mills produce it cheaply as waste. It is used as filler, as a carbon-fibre precursor, and as an antioxidant or UV additive, with ongoing work on replacing part of the phenol-formaldehyde resin in wood panels. There is no single structure-property relationship to state here, though. Radical coupling of the three monolignols, the p-coumaryl, coniferyl and sinapyl alcohols of Fig. 1j–l, builds an irregular cross-linked network with no repeat unit at all. Around 45 to 60% of the linkages are β-O-4 ethers [9], and the rest of the composition shifts with the plant species and again with the extraction route, be it kraft, organosolv or lignosulfonate [54].</w:t>
      </w:r>
    </w:p>
    <w:p>
      <w:pPr>
        <w:pStyle w:val="Heading2"/>
      </w:pPr>
      <w:r>
        <w:t>3.5 Natural Rubber</w:t>
      </w:r>
    </w:p>
    <w:p>
      <w:pPr>
        <w:jc w:val="both"/>
      </w:pPr>
      <w:r>
        <w:rPr>
          <w:b w:val="0"/>
          <w:i w:val="0"/>
        </w:rPr>
        <w:t xml:space="preserve">At rest, natural rubber has almost no modulus, roughly 0.001 to 0.005 GPa. Under load, though, its tear and fatigue resistance is excellent, which keeps it in tyres, engine mounts, gloves and adhesives despite synthetic competition. The stiffness is made on demand: relaxed </w:t>
      </w:r>
      <w:r>
        <w:rPr>
          <w:i/>
        </w:rPr>
        <w:t>cis</w:t>
      </w:r>
      <w:r>
        <w:rPr>
          <w:b w:val="0"/>
          <w:i w:val="0"/>
        </w:rPr>
        <w:t xml:space="preserve">-1,4-polyisoprene is amorphous, but stretching drives the chains to crystallise, and the crystallites stiffen the network. X-ray diffraction has documented this strain-induced crystallisation, abbreviated SIC below, and it is largely absent from synthetic </w:t>
      </w:r>
      <w:r>
        <w:rPr>
          <w:i/>
        </w:rPr>
        <w:t>cis</w:t>
      </w:r>
      <w:r>
        <w:rPr>
          <w:b w:val="0"/>
          <w:i w:val="0"/>
        </w:rPr>
        <w:t xml:space="preserve">-polyisoprene [10]. None of this is a fixed constant: the molecular weight and its spread vary between </w:t>
      </w:r>
      <w:r>
        <w:rPr>
          <w:i/>
        </w:rPr>
        <w:t>Hevea</w:t>
      </w:r>
      <w:r>
        <w:rPr>
          <w:b w:val="0"/>
          <w:i w:val="0"/>
        </w:rPr>
        <w:t xml:space="preserve"> clones and with tree age [19], and the non-rubber protein and gel fraction is an active, clone-dependent part of the network rather than an impurity [18]. Section 6.3 sets natural rubber against a synthetic counterpart.</w:t>
      </w:r>
    </w:p>
    <w:p>
      <w:pPr>
        <w:keepNext/>
        <w:spacing w:after="40"/>
        <w:jc w:val="center"/>
      </w:pPr>
      <w:r>
        <w:drawing>
          <wp:inline xmlns:a="http://schemas.openxmlformats.org/drawingml/2006/main" xmlns:pic="http://schemas.openxmlformats.org/drawingml/2006/picture">
            <wp:extent cx="4114800" cy="1935954"/>
            <wp:docPr id="2" name="Picture 2"/>
            <wp:cNvGraphicFramePr>
              <a:graphicFrameLocks noChangeAspect="1"/>
            </wp:cNvGraphicFramePr>
            <a:graphic>
              <a:graphicData uri="http://schemas.openxmlformats.org/drawingml/2006/picture">
                <pic:pic>
                  <pic:nvPicPr>
                    <pic:cNvPr id="0" name="fig_higher_order_all.png"/>
                    <pic:cNvPicPr/>
                  </pic:nvPicPr>
                  <pic:blipFill>
                    <a:blip r:embed="rId11"/>
                    <a:stretch>
                      <a:fillRect/>
                    </a:stretch>
                  </pic:blipFill>
                  <pic:spPr>
                    <a:xfrm>
                      <a:off x="0" y="0"/>
                      <a:ext cx="4114800" cy="1935954"/>
                    </a:xfrm>
                    <a:prstGeom prst="rect"/>
                  </pic:spPr>
                </pic:pic>
              </a:graphicData>
            </a:graphic>
          </wp:inline>
        </w:drawing>
      </w:r>
    </w:p>
    <w:p>
      <w:pPr>
        <w:spacing w:line="240" w:lineRule="auto" w:after="80"/>
        <w:jc w:val="center"/>
      </w:pPr>
      <w:r>
        <w:rPr>
          <w:i/>
          <w:sz w:val="20"/>
        </w:rPr>
        <w:t>Figure 2. Higher-order structure: (a) cellulose ribbon → hydrogen-bonded sheet → Iα/Iβ crystal; (b) amylose left-handed helix; (c) alginate Ca²⁺ "egg-box" G-block junction; (d) PHA and PLA helical packing (PHB 2₁, PLLA 10₃); (e) silk antiparallel β-sheet nanocrystallites (2–4 nm) in an amorphous matrix; (f) collagen Gly-X-Y triple helix.</w:t>
      </w:r>
    </w:p>
    <w:p>
      <w:pPr>
        <w:spacing w:line="240" w:lineRule="auto" w:after="40"/>
      </w:pPr>
      <w:r>
        <w:rPr>
          <w:b/>
          <w:i w:val="0"/>
          <w:sz w:val="20"/>
        </w:rPr>
        <w:t>Table 2.</w:t>
      </w:r>
      <w:r>
        <w:rPr>
          <w:b w:val="0"/>
          <w:i w:val="0"/>
          <w:sz w:val="20"/>
        </w:rPr>
        <w:t xml:space="preserve"> Thermal and mechanical properties of the biopolymers discussed in Section 3 (order-of-magnitude ranges; Tg/Tm and tensile data cross-checked against de Beukelaer et al. [11], PBS against Aliotta et al. [12], PLA against [42,43], and polyester decomposition onsets against [5,44]; the polysaccharide and protein Td values are representative TGA onsets from the general literature. Td = TGA onset of mass loss under N₂; "–" = no melting transition; per-row sources in </w:t>
      </w:r>
      <w:r>
        <w:rPr>
          <w:rFonts w:ascii="Consolas" w:hAnsi="Consolas"/>
          <w:i/>
          <w:sz w:val="20"/>
        </w:rPr>
        <w:t>figures/data/*.csv</w:t>
      </w:r>
      <w:r>
        <w:rPr>
          <w:b w:val="0"/>
          <w:i w:val="0"/>
          <w:sz w:val="20"/>
        </w:rPr>
        <w:t>).</w:t>
      </w:r>
    </w:p>
    <w:tbl>
      <w:tblPr>
        <w:tblW w:type="auto" w:w="0"/>
        <w:jc w:val="center"/>
        <w:tblLayout w:type="fixed"/>
        <w:tblLook w:firstColumn="1" w:firstRow="1" w:lastColumn="0" w:lastRow="0" w:noHBand="0" w:noVBand="1" w:val="04A0"/>
        <w:tblLayout w:type="fixed"/>
      </w:tblPr>
      <w:tblGrid>
        <w:gridCol w:w="2240"/>
        <w:gridCol w:w="1012"/>
        <w:gridCol w:w="1012"/>
        <w:gridCol w:w="1145"/>
        <w:gridCol w:w="1732"/>
        <w:gridCol w:w="1784"/>
      </w:tblGrid>
      <w:tr>
        <w:tc>
          <w:tcPr>
            <w:tcW w:type="dxa" w:w="2240"/>
            <w:tcBorders>
              <w:top w:val="single" w:sz="8" w:space="0" w:color="000000"/>
              <w:bottom w:val="single" w:sz="8" w:space="0" w:color="000000"/>
            </w:tcBorders>
          </w:tcPr>
          <w:p>
            <w:pPr>
              <w:spacing w:after="10" w:before="10" w:line="240" w:lineRule="auto"/>
            </w:pPr>
            <w:r>
              <w:rPr>
                <w:rFonts w:ascii="Arial" w:hAnsi="Arial"/>
                <w:b/>
                <w:i w:val="0"/>
                <w:sz w:val="16"/>
              </w:rPr>
              <w:t>Material</w:t>
            </w:r>
          </w:p>
        </w:tc>
        <w:tc>
          <w:tcPr>
            <w:tcW w:type="dxa" w:w="1013"/>
            <w:tcBorders>
              <w:top w:val="single" w:sz="8" w:space="0" w:color="000000"/>
              <w:bottom w:val="single" w:sz="8" w:space="0" w:color="000000"/>
            </w:tcBorders>
          </w:tcPr>
          <w:p>
            <w:pPr>
              <w:spacing w:after="10" w:before="10" w:line="240" w:lineRule="auto"/>
            </w:pPr>
            <w:r>
              <w:rPr>
                <w:rFonts w:ascii="Arial" w:hAnsi="Arial"/>
                <w:b/>
                <w:i w:val="0"/>
                <w:sz w:val="16"/>
              </w:rPr>
              <w:t>Tg (°C)</w:t>
            </w:r>
          </w:p>
        </w:tc>
        <w:tc>
          <w:tcPr>
            <w:tcW w:type="dxa" w:w="1013"/>
            <w:tcBorders>
              <w:top w:val="single" w:sz="8" w:space="0" w:color="000000"/>
              <w:bottom w:val="single" w:sz="8" w:space="0" w:color="000000"/>
            </w:tcBorders>
          </w:tcPr>
          <w:p>
            <w:pPr>
              <w:spacing w:after="10" w:before="10" w:line="240" w:lineRule="auto"/>
            </w:pPr>
            <w:r>
              <w:rPr>
                <w:rFonts w:ascii="Arial" w:hAnsi="Arial"/>
                <w:b/>
                <w:i w:val="0"/>
                <w:sz w:val="16"/>
              </w:rPr>
              <w:t>Tm (°C)</w:t>
            </w:r>
          </w:p>
        </w:tc>
        <w:tc>
          <w:tcPr>
            <w:tcW w:type="dxa" w:w="1145"/>
            <w:tcBorders>
              <w:top w:val="single" w:sz="8" w:space="0" w:color="000000"/>
              <w:bottom w:val="single" w:sz="8" w:space="0" w:color="000000"/>
            </w:tcBorders>
          </w:tcPr>
          <w:p>
            <w:pPr>
              <w:spacing w:after="10" w:before="10" w:line="240" w:lineRule="auto"/>
            </w:pPr>
            <w:r>
              <w:rPr>
                <w:rFonts w:ascii="Arial" w:hAnsi="Arial"/>
                <w:b/>
                <w:i w:val="0"/>
                <w:sz w:val="16"/>
              </w:rPr>
              <w:t>Td onset (°C)</w:t>
            </w:r>
          </w:p>
        </w:tc>
        <w:tc>
          <w:tcPr>
            <w:tcW w:type="dxa" w:w="1733"/>
            <w:tcBorders>
              <w:top w:val="single" w:sz="8" w:space="0" w:color="000000"/>
              <w:bottom w:val="single" w:sz="8" w:space="0" w:color="000000"/>
            </w:tcBorders>
          </w:tcPr>
          <w:p>
            <w:pPr>
              <w:spacing w:after="10" w:before="10" w:line="240" w:lineRule="auto"/>
            </w:pPr>
            <w:r>
              <w:rPr>
                <w:rFonts w:ascii="Arial" w:hAnsi="Arial"/>
                <w:b/>
                <w:i w:val="0"/>
                <w:sz w:val="16"/>
              </w:rPr>
              <w:t>Modulus (GPa)</w:t>
            </w:r>
          </w:p>
        </w:tc>
        <w:tc>
          <w:tcPr>
            <w:tcW w:type="dxa" w:w="1784"/>
            <w:tcBorders>
              <w:top w:val="single" w:sz="8" w:space="0" w:color="000000"/>
              <w:bottom w:val="single" w:sz="8" w:space="0" w:color="000000"/>
            </w:tcBorders>
          </w:tcPr>
          <w:p>
            <w:pPr>
              <w:spacing w:after="10" w:before="10" w:line="240" w:lineRule="auto"/>
            </w:pPr>
            <w:r>
              <w:rPr>
                <w:rFonts w:ascii="Arial" w:hAnsi="Arial"/>
                <w:b/>
                <w:i w:val="0"/>
                <w:sz w:val="16"/>
              </w:rPr>
              <w:t>Elongation at break (%)</w:t>
            </w:r>
          </w:p>
        </w:tc>
      </w:tr>
      <w:tr>
        <w:tc>
          <w:tcPr>
            <w:tcW w:type="dxa" w:w="2240"/>
            <w:tcBorders>
              <w:top w:val="nil"/>
              <w:bottom w:val="nil"/>
            </w:tcBorders>
          </w:tcPr>
          <w:p>
            <w:pPr>
              <w:spacing w:after="10" w:before="10" w:line="240" w:lineRule="auto"/>
            </w:pPr>
            <w:r>
              <w:rPr>
                <w:rFonts w:ascii="Arial" w:hAnsi="Arial"/>
                <w:b w:val="0"/>
                <w:i w:val="0"/>
                <w:sz w:val="16"/>
              </w:rPr>
              <w:t>Cellulose (regenerated fibre)</w:t>
            </w:r>
          </w:p>
        </w:tc>
        <w:tc>
          <w:tcPr>
            <w:tcW w:type="dxa" w:w="1013"/>
            <w:tcBorders>
              <w:top w:val="nil"/>
              <w:bottom w:val="nil"/>
            </w:tcBorders>
          </w:tcPr>
          <w:p>
            <w:pPr>
              <w:spacing w:after="10" w:before="10" w:line="240" w:lineRule="auto"/>
            </w:pPr>
            <w:r>
              <w:rPr>
                <w:rFonts w:ascii="Arial" w:hAnsi="Arial"/>
                <w:b w:val="0"/>
                <w:i w:val="0"/>
                <w:sz w:val="16"/>
              </w:rPr>
              <w:t>–</w:t>
            </w:r>
          </w:p>
        </w:tc>
        <w:tc>
          <w:tcPr>
            <w:tcW w:type="dxa" w:w="1013"/>
            <w:tcBorders>
              <w:top w:val="nil"/>
              <w:bottom w:val="nil"/>
            </w:tcBorders>
          </w:tcPr>
          <w:p>
            <w:pPr>
              <w:spacing w:after="10" w:before="10" w:line="240" w:lineRule="auto"/>
            </w:pPr>
            <w:r>
              <w:rPr>
                <w:rFonts w:ascii="Arial" w:hAnsi="Arial"/>
                <w:b w:val="0"/>
                <w:i w:val="0"/>
                <w:sz w:val="16"/>
              </w:rPr>
              <w:t>–</w:t>
            </w:r>
          </w:p>
        </w:tc>
        <w:tc>
          <w:tcPr>
            <w:tcW w:type="dxa" w:w="1145"/>
            <w:tcBorders>
              <w:top w:val="nil"/>
              <w:bottom w:val="nil"/>
            </w:tcBorders>
          </w:tcPr>
          <w:p>
            <w:pPr>
              <w:spacing w:after="10" w:before="10" w:line="240" w:lineRule="auto"/>
            </w:pPr>
            <w:r>
              <w:rPr>
                <w:rFonts w:ascii="Arial" w:hAnsi="Arial"/>
                <w:b w:val="0"/>
                <w:i w:val="0"/>
                <w:sz w:val="16"/>
              </w:rPr>
              <w:t>~300</w:t>
            </w:r>
          </w:p>
        </w:tc>
        <w:tc>
          <w:tcPr>
            <w:tcW w:type="dxa" w:w="1733"/>
            <w:tcBorders>
              <w:top w:val="nil"/>
              <w:bottom w:val="nil"/>
            </w:tcBorders>
          </w:tcPr>
          <w:p>
            <w:pPr>
              <w:spacing w:after="10" w:before="10" w:line="240" w:lineRule="auto"/>
            </w:pPr>
            <w:r>
              <w:rPr>
                <w:rFonts w:ascii="Arial" w:hAnsi="Arial"/>
                <w:b w:val="0"/>
                <w:i w:val="0"/>
                <w:sz w:val="16"/>
              </w:rPr>
              <w:t>10–30</w:t>
            </w:r>
          </w:p>
        </w:tc>
        <w:tc>
          <w:tcPr>
            <w:tcW w:type="dxa" w:w="1784"/>
            <w:tcBorders>
              <w:top w:val="nil"/>
              <w:bottom w:val="nil"/>
            </w:tcBorders>
          </w:tcPr>
          <w:p>
            <w:pPr>
              <w:spacing w:after="10" w:before="10" w:line="240" w:lineRule="auto"/>
            </w:pPr>
            <w:r>
              <w:rPr>
                <w:rFonts w:ascii="Arial" w:hAnsi="Arial"/>
                <w:b w:val="0"/>
                <w:i w:val="0"/>
                <w:sz w:val="16"/>
              </w:rPr>
              <w:t>8–15</w:t>
            </w:r>
          </w:p>
        </w:tc>
      </w:tr>
      <w:tr>
        <w:tc>
          <w:tcPr>
            <w:tcW w:type="dxa" w:w="2240"/>
            <w:tcBorders>
              <w:top w:val="nil"/>
              <w:bottom w:val="nil"/>
            </w:tcBorders>
          </w:tcPr>
          <w:p>
            <w:pPr>
              <w:spacing w:after="10" w:before="10" w:line="240" w:lineRule="auto"/>
            </w:pPr>
            <w:r>
              <w:rPr>
                <w:rFonts w:ascii="Arial" w:hAnsi="Arial"/>
                <w:b w:val="0"/>
                <w:i w:val="0"/>
                <w:sz w:val="16"/>
              </w:rPr>
              <w:t>Thermoplastic starch</w:t>
            </w:r>
          </w:p>
        </w:tc>
        <w:tc>
          <w:tcPr>
            <w:tcW w:type="dxa" w:w="1013"/>
            <w:tcBorders>
              <w:top w:val="nil"/>
              <w:bottom w:val="nil"/>
            </w:tcBorders>
          </w:tcPr>
          <w:p>
            <w:pPr>
              <w:spacing w:after="10" w:before="10" w:line="240" w:lineRule="auto"/>
            </w:pPr>
            <w:r>
              <w:rPr>
                <w:rFonts w:ascii="Arial" w:hAnsi="Arial"/>
                <w:b w:val="0"/>
                <w:i w:val="0"/>
                <w:sz w:val="16"/>
              </w:rPr>
              <w:t>~−20</w:t>
            </w:r>
          </w:p>
        </w:tc>
        <w:tc>
          <w:tcPr>
            <w:tcW w:type="dxa" w:w="1013"/>
            <w:tcBorders>
              <w:top w:val="nil"/>
              <w:bottom w:val="nil"/>
            </w:tcBorders>
          </w:tcPr>
          <w:p>
            <w:pPr>
              <w:spacing w:after="10" w:before="10" w:line="240" w:lineRule="auto"/>
            </w:pPr>
            <w:r>
              <w:rPr>
                <w:rFonts w:ascii="Arial" w:hAnsi="Arial"/>
                <w:b w:val="0"/>
                <w:i w:val="0"/>
                <w:sz w:val="16"/>
              </w:rPr>
              <w:t>–</w:t>
            </w:r>
          </w:p>
        </w:tc>
        <w:tc>
          <w:tcPr>
            <w:tcW w:type="dxa" w:w="1145"/>
            <w:tcBorders>
              <w:top w:val="nil"/>
              <w:bottom w:val="nil"/>
            </w:tcBorders>
          </w:tcPr>
          <w:p>
            <w:pPr>
              <w:spacing w:after="10" w:before="10" w:line="240" w:lineRule="auto"/>
            </w:pPr>
            <w:r>
              <w:rPr>
                <w:rFonts w:ascii="Arial" w:hAnsi="Arial"/>
                <w:b w:val="0"/>
                <w:i w:val="0"/>
                <w:sz w:val="16"/>
              </w:rPr>
              <w:t>~300</w:t>
            </w:r>
          </w:p>
        </w:tc>
        <w:tc>
          <w:tcPr>
            <w:tcW w:type="dxa" w:w="1733"/>
            <w:tcBorders>
              <w:top w:val="nil"/>
              <w:bottom w:val="nil"/>
            </w:tcBorders>
          </w:tcPr>
          <w:p>
            <w:pPr>
              <w:spacing w:after="10" w:before="10" w:line="240" w:lineRule="auto"/>
            </w:pPr>
            <w:r>
              <w:rPr>
                <w:rFonts w:ascii="Arial" w:hAnsi="Arial"/>
                <w:b w:val="0"/>
                <w:i w:val="0"/>
                <w:sz w:val="16"/>
              </w:rPr>
              <w:t>0.02–1.0</w:t>
            </w:r>
          </w:p>
        </w:tc>
        <w:tc>
          <w:tcPr>
            <w:tcW w:type="dxa" w:w="1784"/>
            <w:tcBorders>
              <w:top w:val="nil"/>
              <w:bottom w:val="nil"/>
            </w:tcBorders>
          </w:tcPr>
          <w:p>
            <w:pPr>
              <w:spacing w:after="10" w:before="10" w:line="240" w:lineRule="auto"/>
            </w:pPr>
            <w:r>
              <w:rPr>
                <w:rFonts w:ascii="Arial" w:hAnsi="Arial"/>
                <w:b w:val="0"/>
                <w:i w:val="0"/>
                <w:sz w:val="16"/>
              </w:rPr>
              <w:t>20–100</w:t>
            </w:r>
          </w:p>
        </w:tc>
      </w:tr>
      <w:tr>
        <w:tc>
          <w:tcPr>
            <w:tcW w:type="dxa" w:w="2240"/>
            <w:tcBorders>
              <w:top w:val="nil"/>
              <w:bottom w:val="nil"/>
            </w:tcBorders>
          </w:tcPr>
          <w:p>
            <w:pPr>
              <w:spacing w:after="10" w:before="10" w:line="240" w:lineRule="auto"/>
            </w:pPr>
            <w:r>
              <w:rPr>
                <w:rFonts w:ascii="Arial" w:hAnsi="Arial"/>
                <w:b w:val="0"/>
                <w:i w:val="0"/>
                <w:sz w:val="16"/>
              </w:rPr>
              <w:t>Chitosan (film)</w:t>
            </w:r>
          </w:p>
        </w:tc>
        <w:tc>
          <w:tcPr>
            <w:tcW w:type="dxa" w:w="1013"/>
            <w:tcBorders>
              <w:top w:val="nil"/>
              <w:bottom w:val="nil"/>
            </w:tcBorders>
          </w:tcPr>
          <w:p>
            <w:pPr>
              <w:spacing w:after="10" w:before="10" w:line="240" w:lineRule="auto"/>
            </w:pPr>
            <w:r>
              <w:rPr>
                <w:rFonts w:ascii="Arial" w:hAnsi="Arial"/>
                <w:b w:val="0"/>
                <w:i w:val="0"/>
                <w:sz w:val="16"/>
              </w:rPr>
              <w:t>–</w:t>
            </w:r>
          </w:p>
        </w:tc>
        <w:tc>
          <w:tcPr>
            <w:tcW w:type="dxa" w:w="1013"/>
            <w:tcBorders>
              <w:top w:val="nil"/>
              <w:bottom w:val="nil"/>
            </w:tcBorders>
          </w:tcPr>
          <w:p>
            <w:pPr>
              <w:spacing w:after="10" w:before="10" w:line="240" w:lineRule="auto"/>
            </w:pPr>
            <w:r>
              <w:rPr>
                <w:rFonts w:ascii="Arial" w:hAnsi="Arial"/>
                <w:b w:val="0"/>
                <w:i w:val="0"/>
                <w:sz w:val="16"/>
              </w:rPr>
              <w:t>–</w:t>
            </w:r>
          </w:p>
        </w:tc>
        <w:tc>
          <w:tcPr>
            <w:tcW w:type="dxa" w:w="1145"/>
            <w:tcBorders>
              <w:top w:val="nil"/>
              <w:bottom w:val="nil"/>
            </w:tcBorders>
          </w:tcPr>
          <w:p>
            <w:pPr>
              <w:spacing w:after="10" w:before="10" w:line="240" w:lineRule="auto"/>
            </w:pPr>
            <w:r>
              <w:rPr>
                <w:rFonts w:ascii="Arial" w:hAnsi="Arial"/>
                <w:b w:val="0"/>
                <w:i w:val="0"/>
                <w:sz w:val="16"/>
              </w:rPr>
              <w:t>~280</w:t>
            </w:r>
          </w:p>
        </w:tc>
        <w:tc>
          <w:tcPr>
            <w:tcW w:type="dxa" w:w="1733"/>
            <w:tcBorders>
              <w:top w:val="nil"/>
              <w:bottom w:val="nil"/>
            </w:tcBorders>
          </w:tcPr>
          <w:p>
            <w:pPr>
              <w:spacing w:after="10" w:before="10" w:line="240" w:lineRule="auto"/>
            </w:pPr>
            <w:r>
              <w:rPr>
                <w:rFonts w:ascii="Arial" w:hAnsi="Arial"/>
                <w:b w:val="0"/>
                <w:i w:val="0"/>
                <w:sz w:val="16"/>
              </w:rPr>
              <w:t>1.0–4.0</w:t>
            </w:r>
          </w:p>
        </w:tc>
        <w:tc>
          <w:tcPr>
            <w:tcW w:type="dxa" w:w="1784"/>
            <w:tcBorders>
              <w:top w:val="nil"/>
              <w:bottom w:val="nil"/>
            </w:tcBorders>
          </w:tcPr>
          <w:p>
            <w:pPr>
              <w:spacing w:after="10" w:before="10" w:line="240" w:lineRule="auto"/>
            </w:pPr>
            <w:r>
              <w:rPr>
                <w:rFonts w:ascii="Arial" w:hAnsi="Arial"/>
                <w:b w:val="0"/>
                <w:i w:val="0"/>
                <w:sz w:val="16"/>
              </w:rPr>
              <w:t>3–30</w:t>
            </w:r>
          </w:p>
        </w:tc>
      </w:tr>
      <w:tr>
        <w:tc>
          <w:tcPr>
            <w:tcW w:type="dxa" w:w="2240"/>
            <w:tcBorders>
              <w:top w:val="nil"/>
              <w:bottom w:val="nil"/>
            </w:tcBorders>
          </w:tcPr>
          <w:p>
            <w:pPr>
              <w:spacing w:after="10" w:before="10" w:line="240" w:lineRule="auto"/>
            </w:pPr>
            <w:r>
              <w:rPr>
                <w:rFonts w:ascii="Arial" w:hAnsi="Arial"/>
                <w:b w:val="0"/>
                <w:i w:val="0"/>
                <w:sz w:val="16"/>
              </w:rPr>
              <w:t>Silk fibroin (fibre)</w:t>
            </w:r>
          </w:p>
        </w:tc>
        <w:tc>
          <w:tcPr>
            <w:tcW w:type="dxa" w:w="1013"/>
            <w:tcBorders>
              <w:top w:val="nil"/>
              <w:bottom w:val="nil"/>
            </w:tcBorders>
          </w:tcPr>
          <w:p>
            <w:pPr>
              <w:spacing w:after="10" w:before="10" w:line="240" w:lineRule="auto"/>
            </w:pPr>
            <w:r>
              <w:rPr>
                <w:rFonts w:ascii="Arial" w:hAnsi="Arial"/>
                <w:b w:val="0"/>
                <w:i w:val="0"/>
                <w:sz w:val="16"/>
              </w:rPr>
              <w:t>~175</w:t>
            </w:r>
          </w:p>
        </w:tc>
        <w:tc>
          <w:tcPr>
            <w:tcW w:type="dxa" w:w="1013"/>
            <w:tcBorders>
              <w:top w:val="nil"/>
              <w:bottom w:val="nil"/>
            </w:tcBorders>
          </w:tcPr>
          <w:p>
            <w:pPr>
              <w:spacing w:after="10" w:before="10" w:line="240" w:lineRule="auto"/>
            </w:pPr>
            <w:r>
              <w:rPr>
                <w:rFonts w:ascii="Arial" w:hAnsi="Arial"/>
                <w:b w:val="0"/>
                <w:i w:val="0"/>
                <w:sz w:val="16"/>
              </w:rPr>
              <w:t>–</w:t>
            </w:r>
          </w:p>
        </w:tc>
        <w:tc>
          <w:tcPr>
            <w:tcW w:type="dxa" w:w="1145"/>
            <w:tcBorders>
              <w:top w:val="nil"/>
              <w:bottom w:val="nil"/>
            </w:tcBorders>
          </w:tcPr>
          <w:p>
            <w:pPr>
              <w:spacing w:after="10" w:before="10" w:line="240" w:lineRule="auto"/>
            </w:pPr>
            <w:r>
              <w:rPr>
                <w:rFonts w:ascii="Arial" w:hAnsi="Arial"/>
                <w:b w:val="0"/>
                <w:i w:val="0"/>
                <w:sz w:val="16"/>
              </w:rPr>
              <w:t>~300</w:t>
            </w:r>
          </w:p>
        </w:tc>
        <w:tc>
          <w:tcPr>
            <w:tcW w:type="dxa" w:w="1733"/>
            <w:tcBorders>
              <w:top w:val="nil"/>
              <w:bottom w:val="nil"/>
            </w:tcBorders>
          </w:tcPr>
          <w:p>
            <w:pPr>
              <w:spacing w:after="10" w:before="10" w:line="240" w:lineRule="auto"/>
            </w:pPr>
            <w:r>
              <w:rPr>
                <w:rFonts w:ascii="Arial" w:hAnsi="Arial"/>
                <w:b w:val="0"/>
                <w:i w:val="0"/>
                <w:sz w:val="16"/>
              </w:rPr>
              <w:t>5–17</w:t>
            </w:r>
          </w:p>
        </w:tc>
        <w:tc>
          <w:tcPr>
            <w:tcW w:type="dxa" w:w="1784"/>
            <w:tcBorders>
              <w:top w:val="nil"/>
              <w:bottom w:val="nil"/>
            </w:tcBorders>
          </w:tcPr>
          <w:p>
            <w:pPr>
              <w:spacing w:after="10" w:before="10" w:line="240" w:lineRule="auto"/>
            </w:pPr>
            <w:r>
              <w:rPr>
                <w:rFonts w:ascii="Arial" w:hAnsi="Arial"/>
                <w:b w:val="0"/>
                <w:i w:val="0"/>
                <w:sz w:val="16"/>
              </w:rPr>
              <w:t>15–30</w:t>
            </w:r>
          </w:p>
        </w:tc>
      </w:tr>
      <w:tr>
        <w:tc>
          <w:tcPr>
            <w:tcW w:type="dxa" w:w="2240"/>
            <w:tcBorders>
              <w:top w:val="nil"/>
              <w:bottom w:val="nil"/>
            </w:tcBorders>
          </w:tcPr>
          <w:p>
            <w:pPr>
              <w:spacing w:after="10" w:before="10" w:line="240" w:lineRule="auto"/>
            </w:pPr>
            <w:r>
              <w:rPr>
                <w:rFonts w:ascii="Arial" w:hAnsi="Arial"/>
                <w:b w:val="0"/>
                <w:i w:val="0"/>
                <w:sz w:val="16"/>
              </w:rPr>
              <w:t>PHB (HV/HHx copolymers lower Tm)</w:t>
            </w:r>
          </w:p>
        </w:tc>
        <w:tc>
          <w:tcPr>
            <w:tcW w:type="dxa" w:w="1013"/>
            <w:tcBorders>
              <w:top w:val="nil"/>
              <w:bottom w:val="nil"/>
            </w:tcBorders>
          </w:tcPr>
          <w:p>
            <w:pPr>
              <w:spacing w:after="10" w:before="10" w:line="240" w:lineRule="auto"/>
            </w:pPr>
            <w:r>
              <w:rPr>
                <w:rFonts w:ascii="Arial" w:hAnsi="Arial"/>
                <w:b w:val="0"/>
                <w:i w:val="0"/>
                <w:sz w:val="16"/>
              </w:rPr>
              <w:t>~5</w:t>
            </w:r>
          </w:p>
        </w:tc>
        <w:tc>
          <w:tcPr>
            <w:tcW w:type="dxa" w:w="1013"/>
            <w:tcBorders>
              <w:top w:val="nil"/>
              <w:bottom w:val="nil"/>
            </w:tcBorders>
          </w:tcPr>
          <w:p>
            <w:pPr>
              <w:spacing w:after="10" w:before="10" w:line="240" w:lineRule="auto"/>
            </w:pPr>
            <w:r>
              <w:rPr>
                <w:rFonts w:ascii="Arial" w:hAnsi="Arial"/>
                <w:b w:val="0"/>
                <w:i w:val="0"/>
                <w:sz w:val="16"/>
              </w:rPr>
              <w:t>~180</w:t>
            </w:r>
          </w:p>
        </w:tc>
        <w:tc>
          <w:tcPr>
            <w:tcW w:type="dxa" w:w="1145"/>
            <w:tcBorders>
              <w:top w:val="nil"/>
              <w:bottom w:val="nil"/>
            </w:tcBorders>
          </w:tcPr>
          <w:p>
            <w:pPr>
              <w:spacing w:after="10" w:before="10" w:line="240" w:lineRule="auto"/>
            </w:pPr>
            <w:r>
              <w:rPr>
                <w:rFonts w:ascii="Arial" w:hAnsi="Arial"/>
                <w:b w:val="0"/>
                <w:i w:val="0"/>
                <w:sz w:val="16"/>
              </w:rPr>
              <w:t>~200</w:t>
            </w:r>
          </w:p>
        </w:tc>
        <w:tc>
          <w:tcPr>
            <w:tcW w:type="dxa" w:w="1733"/>
            <w:tcBorders>
              <w:top w:val="nil"/>
              <w:bottom w:val="nil"/>
            </w:tcBorders>
          </w:tcPr>
          <w:p>
            <w:pPr>
              <w:spacing w:after="10" w:before="10" w:line="240" w:lineRule="auto"/>
            </w:pPr>
            <w:r>
              <w:rPr>
                <w:rFonts w:ascii="Arial" w:hAnsi="Arial"/>
                <w:b w:val="0"/>
                <w:i w:val="0"/>
                <w:sz w:val="16"/>
              </w:rPr>
              <w:t>1.5–4.0</w:t>
            </w:r>
          </w:p>
        </w:tc>
        <w:tc>
          <w:tcPr>
            <w:tcW w:type="dxa" w:w="1784"/>
            <w:tcBorders>
              <w:top w:val="nil"/>
              <w:bottom w:val="nil"/>
            </w:tcBorders>
          </w:tcPr>
          <w:p>
            <w:pPr>
              <w:spacing w:after="10" w:before="10" w:line="240" w:lineRule="auto"/>
            </w:pPr>
            <w:r>
              <w:rPr>
                <w:rFonts w:ascii="Arial" w:hAnsi="Arial"/>
                <w:b w:val="0"/>
                <w:i w:val="0"/>
                <w:sz w:val="16"/>
              </w:rPr>
              <w:t>1.5–8</w:t>
            </w:r>
          </w:p>
        </w:tc>
      </w:tr>
      <w:tr>
        <w:tc>
          <w:tcPr>
            <w:tcW w:type="dxa" w:w="2240"/>
            <w:tcBorders>
              <w:top w:val="nil"/>
              <w:bottom w:val="nil"/>
            </w:tcBorders>
          </w:tcPr>
          <w:p>
            <w:pPr>
              <w:spacing w:after="10" w:before="10" w:line="240" w:lineRule="auto"/>
            </w:pPr>
            <w:r>
              <w:rPr>
                <w:rFonts w:ascii="Arial" w:hAnsi="Arial"/>
                <w:b w:val="0"/>
                <w:i w:val="0"/>
                <w:sz w:val="16"/>
              </w:rPr>
              <w:t>PLLA</w:t>
            </w:r>
          </w:p>
        </w:tc>
        <w:tc>
          <w:tcPr>
            <w:tcW w:type="dxa" w:w="1013"/>
            <w:tcBorders>
              <w:top w:val="nil"/>
              <w:bottom w:val="nil"/>
            </w:tcBorders>
          </w:tcPr>
          <w:p>
            <w:pPr>
              <w:spacing w:after="10" w:before="10" w:line="240" w:lineRule="auto"/>
            </w:pPr>
            <w:r>
              <w:rPr>
                <w:rFonts w:ascii="Arial" w:hAnsi="Arial"/>
                <w:b w:val="0"/>
                <w:i w:val="0"/>
                <w:sz w:val="16"/>
              </w:rPr>
              <w:t>~60</w:t>
            </w:r>
          </w:p>
        </w:tc>
        <w:tc>
          <w:tcPr>
            <w:tcW w:type="dxa" w:w="1013"/>
            <w:tcBorders>
              <w:top w:val="nil"/>
              <w:bottom w:val="nil"/>
            </w:tcBorders>
          </w:tcPr>
          <w:p>
            <w:pPr>
              <w:spacing w:after="10" w:before="10" w:line="240" w:lineRule="auto"/>
            </w:pPr>
            <w:r>
              <w:rPr>
                <w:rFonts w:ascii="Arial" w:hAnsi="Arial"/>
                <w:b w:val="0"/>
                <w:i w:val="0"/>
                <w:sz w:val="16"/>
              </w:rPr>
              <w:t>~175</w:t>
            </w:r>
          </w:p>
        </w:tc>
        <w:tc>
          <w:tcPr>
            <w:tcW w:type="dxa" w:w="1145"/>
            <w:tcBorders>
              <w:top w:val="nil"/>
              <w:bottom w:val="nil"/>
            </w:tcBorders>
          </w:tcPr>
          <w:p>
            <w:pPr>
              <w:spacing w:after="10" w:before="10" w:line="240" w:lineRule="auto"/>
            </w:pPr>
            <w:r>
              <w:rPr>
                <w:rFonts w:ascii="Arial" w:hAnsi="Arial"/>
                <w:b w:val="0"/>
                <w:i w:val="0"/>
                <w:sz w:val="16"/>
              </w:rPr>
              <w:t>~300</w:t>
            </w:r>
          </w:p>
        </w:tc>
        <w:tc>
          <w:tcPr>
            <w:tcW w:type="dxa" w:w="1733"/>
            <w:tcBorders>
              <w:top w:val="nil"/>
              <w:bottom w:val="nil"/>
            </w:tcBorders>
          </w:tcPr>
          <w:p>
            <w:pPr>
              <w:spacing w:after="10" w:before="10" w:line="240" w:lineRule="auto"/>
            </w:pPr>
            <w:r>
              <w:rPr>
                <w:rFonts w:ascii="Arial" w:hAnsi="Arial"/>
                <w:b w:val="0"/>
                <w:i w:val="0"/>
                <w:sz w:val="16"/>
              </w:rPr>
              <w:t>2.5–4.0</w:t>
            </w:r>
          </w:p>
        </w:tc>
        <w:tc>
          <w:tcPr>
            <w:tcW w:type="dxa" w:w="1784"/>
            <w:tcBorders>
              <w:top w:val="nil"/>
              <w:bottom w:val="nil"/>
            </w:tcBorders>
          </w:tcPr>
          <w:p>
            <w:pPr>
              <w:spacing w:after="10" w:before="10" w:line="240" w:lineRule="auto"/>
            </w:pPr>
            <w:r>
              <w:rPr>
                <w:rFonts w:ascii="Arial" w:hAnsi="Arial"/>
                <w:b w:val="0"/>
                <w:i w:val="0"/>
                <w:sz w:val="16"/>
              </w:rPr>
              <w:t>3–10</w:t>
            </w:r>
          </w:p>
        </w:tc>
      </w:tr>
      <w:tr>
        <w:tc>
          <w:tcPr>
            <w:tcW w:type="dxa" w:w="2240"/>
            <w:tcBorders>
              <w:top w:val="nil"/>
              <w:bottom w:val="nil"/>
            </w:tcBorders>
          </w:tcPr>
          <w:p>
            <w:pPr>
              <w:spacing w:after="10" w:before="10" w:line="240" w:lineRule="auto"/>
            </w:pPr>
            <w:r>
              <w:rPr>
                <w:rFonts w:ascii="Arial" w:hAnsi="Arial"/>
                <w:b w:val="0"/>
                <w:i w:val="0"/>
                <w:sz w:val="16"/>
              </w:rPr>
              <w:t>PBS</w:t>
            </w:r>
          </w:p>
        </w:tc>
        <w:tc>
          <w:tcPr>
            <w:tcW w:type="dxa" w:w="1013"/>
            <w:tcBorders>
              <w:top w:val="nil"/>
              <w:bottom w:val="nil"/>
            </w:tcBorders>
          </w:tcPr>
          <w:p>
            <w:pPr>
              <w:spacing w:after="10" w:before="10" w:line="240" w:lineRule="auto"/>
            </w:pPr>
            <w:r>
              <w:rPr>
                <w:rFonts w:ascii="Arial" w:hAnsi="Arial"/>
                <w:b w:val="0"/>
                <w:i w:val="0"/>
                <w:sz w:val="16"/>
              </w:rPr>
              <w:t>~−30</w:t>
            </w:r>
          </w:p>
        </w:tc>
        <w:tc>
          <w:tcPr>
            <w:tcW w:type="dxa" w:w="1013"/>
            <w:tcBorders>
              <w:top w:val="nil"/>
              <w:bottom w:val="nil"/>
            </w:tcBorders>
          </w:tcPr>
          <w:p>
            <w:pPr>
              <w:spacing w:after="10" w:before="10" w:line="240" w:lineRule="auto"/>
            </w:pPr>
            <w:r>
              <w:rPr>
                <w:rFonts w:ascii="Arial" w:hAnsi="Arial"/>
                <w:b w:val="0"/>
                <w:i w:val="0"/>
                <w:sz w:val="16"/>
              </w:rPr>
              <w:t>~116</w:t>
            </w:r>
          </w:p>
        </w:tc>
        <w:tc>
          <w:tcPr>
            <w:tcW w:type="dxa" w:w="1145"/>
            <w:tcBorders>
              <w:top w:val="nil"/>
              <w:bottom w:val="nil"/>
            </w:tcBorders>
          </w:tcPr>
          <w:p>
            <w:pPr>
              <w:spacing w:after="10" w:before="10" w:line="240" w:lineRule="auto"/>
            </w:pPr>
            <w:r>
              <w:rPr>
                <w:rFonts w:ascii="Arial" w:hAnsi="Arial"/>
                <w:b w:val="0"/>
                <w:i w:val="0"/>
                <w:sz w:val="16"/>
              </w:rPr>
              <w:t>~350</w:t>
            </w:r>
          </w:p>
        </w:tc>
        <w:tc>
          <w:tcPr>
            <w:tcW w:type="dxa" w:w="1733"/>
            <w:tcBorders>
              <w:top w:val="nil"/>
              <w:bottom w:val="nil"/>
            </w:tcBorders>
          </w:tcPr>
          <w:p>
            <w:pPr>
              <w:spacing w:after="10" w:before="10" w:line="240" w:lineRule="auto"/>
            </w:pPr>
            <w:r>
              <w:rPr>
                <w:rFonts w:ascii="Arial" w:hAnsi="Arial"/>
                <w:b w:val="0"/>
                <w:i w:val="0"/>
                <w:sz w:val="16"/>
              </w:rPr>
              <w:t>0.3–0.7</w:t>
            </w:r>
          </w:p>
        </w:tc>
        <w:tc>
          <w:tcPr>
            <w:tcW w:type="dxa" w:w="1784"/>
            <w:tcBorders>
              <w:top w:val="nil"/>
              <w:bottom w:val="nil"/>
            </w:tcBorders>
          </w:tcPr>
          <w:p>
            <w:pPr>
              <w:spacing w:after="10" w:before="10" w:line="240" w:lineRule="auto"/>
            </w:pPr>
            <w:r>
              <w:rPr>
                <w:rFonts w:ascii="Arial" w:hAnsi="Arial"/>
                <w:b w:val="0"/>
                <w:i w:val="0"/>
                <w:sz w:val="16"/>
              </w:rPr>
              <w:t>200–500</w:t>
            </w:r>
          </w:p>
        </w:tc>
      </w:tr>
      <w:tr>
        <w:tc>
          <w:tcPr>
            <w:tcW w:type="dxa" w:w="2240"/>
            <w:tcBorders>
              <w:top w:val="nil"/>
              <w:bottom w:val="nil"/>
            </w:tcBorders>
          </w:tcPr>
          <w:p>
            <w:pPr>
              <w:spacing w:after="10" w:before="10" w:line="240" w:lineRule="auto"/>
            </w:pPr>
            <w:r>
              <w:rPr>
                <w:rFonts w:ascii="Arial" w:hAnsi="Arial"/>
                <w:b w:val="0"/>
                <w:i w:val="0"/>
                <w:sz w:val="16"/>
              </w:rPr>
              <w:t>Natural rubber (vulcanised)</w:t>
            </w:r>
          </w:p>
        </w:tc>
        <w:tc>
          <w:tcPr>
            <w:tcW w:type="dxa" w:w="1013"/>
            <w:tcBorders>
              <w:top w:val="nil"/>
              <w:bottom w:val="nil"/>
            </w:tcBorders>
          </w:tcPr>
          <w:p>
            <w:pPr>
              <w:spacing w:after="10" w:before="10" w:line="240" w:lineRule="auto"/>
            </w:pPr>
            <w:r>
              <w:rPr>
                <w:rFonts w:ascii="Arial" w:hAnsi="Arial"/>
                <w:b w:val="0"/>
                <w:i w:val="0"/>
                <w:sz w:val="16"/>
              </w:rPr>
              <w:t>~−70</w:t>
            </w:r>
          </w:p>
        </w:tc>
        <w:tc>
          <w:tcPr>
            <w:tcW w:type="dxa" w:w="1013"/>
            <w:tcBorders>
              <w:top w:val="nil"/>
              <w:bottom w:val="nil"/>
            </w:tcBorders>
          </w:tcPr>
          <w:p>
            <w:pPr>
              <w:spacing w:after="10" w:before="10" w:line="240" w:lineRule="auto"/>
            </w:pPr>
            <w:r>
              <w:rPr>
                <w:rFonts w:ascii="Arial" w:hAnsi="Arial"/>
                <w:b w:val="0"/>
                <w:i w:val="0"/>
                <w:sz w:val="16"/>
              </w:rPr>
              <w:t>–</w:t>
            </w:r>
          </w:p>
        </w:tc>
        <w:tc>
          <w:tcPr>
            <w:tcW w:type="dxa" w:w="1145"/>
            <w:tcBorders>
              <w:top w:val="nil"/>
              <w:bottom w:val="nil"/>
            </w:tcBorders>
          </w:tcPr>
          <w:p>
            <w:pPr>
              <w:spacing w:after="10" w:before="10" w:line="240" w:lineRule="auto"/>
            </w:pPr>
            <w:r>
              <w:rPr>
                <w:rFonts w:ascii="Arial" w:hAnsi="Arial"/>
                <w:b w:val="0"/>
                <w:i w:val="0"/>
                <w:sz w:val="16"/>
              </w:rPr>
              <w:t>–</w:t>
            </w:r>
          </w:p>
        </w:tc>
        <w:tc>
          <w:tcPr>
            <w:tcW w:type="dxa" w:w="1733"/>
            <w:tcBorders>
              <w:top w:val="nil"/>
              <w:bottom w:val="nil"/>
            </w:tcBorders>
          </w:tcPr>
          <w:p>
            <w:pPr>
              <w:spacing w:after="10" w:before="10" w:line="240" w:lineRule="auto"/>
            </w:pPr>
            <w:r>
              <w:rPr>
                <w:rFonts w:ascii="Arial" w:hAnsi="Arial"/>
                <w:b w:val="0"/>
                <w:i w:val="0"/>
                <w:sz w:val="16"/>
              </w:rPr>
              <w:t>0.001–0.005</w:t>
            </w:r>
          </w:p>
        </w:tc>
        <w:tc>
          <w:tcPr>
            <w:tcW w:type="dxa" w:w="1784"/>
            <w:tcBorders>
              <w:top w:val="nil"/>
              <w:bottom w:val="nil"/>
            </w:tcBorders>
          </w:tcPr>
          <w:p>
            <w:pPr>
              <w:spacing w:after="10" w:before="10" w:line="240" w:lineRule="auto"/>
            </w:pPr>
            <w:r>
              <w:rPr>
                <w:rFonts w:ascii="Arial" w:hAnsi="Arial"/>
                <w:b w:val="0"/>
                <w:i w:val="0"/>
                <w:sz w:val="16"/>
              </w:rPr>
              <w:t>500–800</w:t>
            </w:r>
          </w:p>
        </w:tc>
      </w:tr>
      <w:tr>
        <w:tc>
          <w:tcPr>
            <w:tcW w:type="dxa" w:w="2240"/>
            <w:tcBorders>
              <w:top w:val="nil"/>
              <w:bottom w:val="single" w:sz="8" w:space="0" w:color="000000"/>
            </w:tcBorders>
          </w:tcPr>
          <w:p>
            <w:pPr>
              <w:spacing w:after="10" w:before="10" w:line="240" w:lineRule="auto"/>
            </w:pPr>
            <w:r>
              <w:rPr>
                <w:rFonts w:ascii="Arial" w:hAnsi="Arial"/>
                <w:b w:val="0"/>
                <w:i w:val="0"/>
                <w:sz w:val="16"/>
              </w:rPr>
              <w:t>PET (fossil reference)</w:t>
            </w:r>
          </w:p>
        </w:tc>
        <w:tc>
          <w:tcPr>
            <w:tcW w:type="dxa" w:w="1013"/>
            <w:tcBorders>
              <w:top w:val="nil"/>
              <w:bottom w:val="single" w:sz="8" w:space="0" w:color="000000"/>
            </w:tcBorders>
          </w:tcPr>
          <w:p>
            <w:pPr>
              <w:spacing w:after="10" w:before="10" w:line="240" w:lineRule="auto"/>
            </w:pPr>
            <w:r>
              <w:rPr>
                <w:rFonts w:ascii="Arial" w:hAnsi="Arial"/>
                <w:b w:val="0"/>
                <w:i w:val="0"/>
                <w:sz w:val="16"/>
              </w:rPr>
              <w:t>~78</w:t>
            </w:r>
          </w:p>
        </w:tc>
        <w:tc>
          <w:tcPr>
            <w:tcW w:type="dxa" w:w="1013"/>
            <w:tcBorders>
              <w:top w:val="nil"/>
              <w:bottom w:val="single" w:sz="8" w:space="0" w:color="000000"/>
            </w:tcBorders>
          </w:tcPr>
          <w:p>
            <w:pPr>
              <w:spacing w:after="10" w:before="10" w:line="240" w:lineRule="auto"/>
            </w:pPr>
            <w:r>
              <w:rPr>
                <w:rFonts w:ascii="Arial" w:hAnsi="Arial"/>
                <w:b w:val="0"/>
                <w:i w:val="0"/>
                <w:sz w:val="16"/>
              </w:rPr>
              <w:t>~245</w:t>
            </w:r>
          </w:p>
        </w:tc>
        <w:tc>
          <w:tcPr>
            <w:tcW w:type="dxa" w:w="1145"/>
            <w:tcBorders>
              <w:top w:val="nil"/>
              <w:bottom w:val="single" w:sz="8" w:space="0" w:color="000000"/>
            </w:tcBorders>
          </w:tcPr>
          <w:p>
            <w:pPr>
              <w:spacing w:after="10" w:before="10" w:line="240" w:lineRule="auto"/>
            </w:pPr>
            <w:r>
              <w:rPr>
                <w:rFonts w:ascii="Arial" w:hAnsi="Arial"/>
                <w:b w:val="0"/>
                <w:i w:val="0"/>
                <w:sz w:val="16"/>
              </w:rPr>
              <w:t>~400</w:t>
            </w:r>
          </w:p>
        </w:tc>
        <w:tc>
          <w:tcPr>
            <w:tcW w:type="dxa" w:w="1733"/>
            <w:tcBorders>
              <w:top w:val="nil"/>
              <w:bottom w:val="single" w:sz="8" w:space="0" w:color="000000"/>
            </w:tcBorders>
          </w:tcPr>
          <w:p>
            <w:pPr>
              <w:spacing w:after="10" w:before="10" w:line="240" w:lineRule="auto"/>
            </w:pPr>
            <w:r>
              <w:rPr>
                <w:rFonts w:ascii="Arial" w:hAnsi="Arial"/>
                <w:b w:val="0"/>
                <w:i w:val="0"/>
                <w:sz w:val="16"/>
              </w:rPr>
              <w:t>2.0–4.0</w:t>
            </w:r>
          </w:p>
        </w:tc>
        <w:tc>
          <w:tcPr>
            <w:tcW w:type="dxa" w:w="1784"/>
            <w:tcBorders>
              <w:top w:val="nil"/>
              <w:bottom w:val="single" w:sz="8" w:space="0" w:color="000000"/>
            </w:tcBorders>
          </w:tcPr>
          <w:p>
            <w:pPr>
              <w:spacing w:after="10" w:before="10" w:line="240" w:lineRule="auto"/>
            </w:pPr>
            <w:r>
              <w:rPr>
                <w:rFonts w:ascii="Arial" w:hAnsi="Arial"/>
                <w:b w:val="0"/>
                <w:i w:val="0"/>
                <w:sz w:val="16"/>
              </w:rPr>
              <w:t>50–300</w:t>
            </w:r>
          </w:p>
        </w:tc>
      </w:tr>
    </w:tbl>
    <w:p>
      <w:pPr>
        <w:spacing w:after="0" w:line="240" w:lineRule="auto"/>
      </w:pPr>
    </w:p>
    <w:p>
      <w:pPr>
        <w:jc w:val="both"/>
      </w:pPr>
      <w:r>
        <w:rPr>
          <w:i/>
        </w:rPr>
        <w:t>Ranges are indicative and depend on sample form, moisture and thermal history; each row is tied to its source and test condition in `figures/data/</w:t>
      </w:r>
      <w:r>
        <w:rPr>
          <w:b w:val="0"/>
          <w:i w:val="0"/>
        </w:rPr>
        <w:t>.csv`.*</w:t>
      </w:r>
    </w:p>
    <w:p>
      <w:pPr>
        <w:pStyle w:val="Heading1"/>
      </w:pPr>
      <w:r>
        <w:t>4. Molecular Weight and Its Measurement</w:t>
      </w:r>
    </w:p>
    <w:p>
      <w:pPr>
        <w:jc w:val="both"/>
      </w:pPr>
      <w:r>
        <w:rPr>
          <w:b w:val="0"/>
          <w:i w:val="0"/>
        </w:rPr>
        <w:t>A lot of reviews report biopolymer molecular weight as simply "high", when the thing that actually matters is the shape of the whole distribution. The number-average Mn, the weight-average Mw and the dispersity Đ = Mw/Mn [46] provide complementary information: Mn is the number-average, Mw weights the longer chains more heavily, and Đ measures the breadth of the molecular-weight distribution. Đ is the descriptor most often tied to processing behaviour and to batch-to-batch scatter in mechanical properties.</w:t>
      </w:r>
    </w:p>
    <w:p>
      <w:pPr>
        <w:jc w:val="both"/>
      </w:pPr>
      <w:r>
        <w:rPr>
          <w:b w:val="0"/>
          <w:i w:val="0"/>
        </w:rPr>
        <w:t xml:space="preserve">Where Đ ends up is essentially a record of how the polymer was made (Fig. 3). Template synthesis, in proteins and nucleic acids, brings the chains close to a single length and a Đ near the ideal value of 1; non-templated routes generally produce broader distributions, by an amount that tracks how tightly the polymerisation is controlled. Natural rubber is the extreme: harvested rather than grown chain by chain, its Mw and distribution vary between </w:t>
      </w:r>
      <w:r>
        <w:rPr>
          <w:i/>
        </w:rPr>
        <w:t>Hevea</w:t>
      </w:r>
      <w:r>
        <w:rPr>
          <w:b w:val="0"/>
          <w:i w:val="0"/>
        </w:rPr>
        <w:t xml:space="preserve"> clones and with tree age [19], set by the biological source rather than by a controlled process.</w:t>
      </w:r>
    </w:p>
    <w:p>
      <w:pPr>
        <w:keepNext/>
        <w:spacing w:after="40"/>
        <w:jc w:val="center"/>
      </w:pPr>
      <w:r>
        <w:drawing>
          <wp:inline xmlns:a="http://schemas.openxmlformats.org/drawingml/2006/main" xmlns:pic="http://schemas.openxmlformats.org/drawingml/2006/picture">
            <wp:extent cx="4114800" cy="1985148"/>
            <wp:docPr id="3" name="Picture 3"/>
            <wp:cNvGraphicFramePr>
              <a:graphicFrameLocks noChangeAspect="1"/>
            </wp:cNvGraphicFramePr>
            <a:graphic>
              <a:graphicData uri="http://schemas.openxmlformats.org/drawingml/2006/picture">
                <pic:pic>
                  <pic:nvPicPr>
                    <pic:cNvPr id="0" name="fig9_dispersity.png"/>
                    <pic:cNvPicPr/>
                  </pic:nvPicPr>
                  <pic:blipFill>
                    <a:blip r:embed="rId12"/>
                    <a:stretch>
                      <a:fillRect/>
                    </a:stretch>
                  </pic:blipFill>
                  <pic:spPr>
                    <a:xfrm>
                      <a:off x="0" y="0"/>
                      <a:ext cx="4114800" cy="1985148"/>
                    </a:xfrm>
                    <a:prstGeom prst="rect"/>
                  </pic:spPr>
                </pic:pic>
              </a:graphicData>
            </a:graphic>
          </wp:inline>
        </w:drawing>
      </w:r>
    </w:p>
    <w:p>
      <w:pPr>
        <w:spacing w:line="240" w:lineRule="auto" w:after="80"/>
        <w:jc w:val="center"/>
      </w:pPr>
      <w:r>
        <w:rPr>
          <w:i/>
          <w:sz w:val="20"/>
        </w:rPr>
        <w:t>Figure 3. Dispersity Đ across families, coloured by backbone class: a point near Đ = 1 for templated biosynthesis, literature ranges for PLA, PHA, chitosan and cellulose, and an open arrow for natural rubber, whose Đ is not consistently quantified.</w:t>
      </w:r>
    </w:p>
    <w:p>
      <w:pPr>
        <w:jc w:val="both"/>
      </w:pPr>
      <w:r>
        <w:rPr>
          <w:b w:val="0"/>
          <w:i w:val="0"/>
        </w:rPr>
        <w:t>Molecular weight reaches performance through chain entanglement. Strength and toughness develop only once the chains are long enough to entangle, above a critical value Mc [48]. Below Mc both collapse; above it, tensile strength climbs with Mn and then levels off, roughly as σ ≈ σ∞ − K/Mn [47]. Degradation shows up first as a fall in molecular weight, which costs little strength until the chains drop back below Mc, at which point performance fails abruptly.</w:t>
      </w:r>
    </w:p>
    <w:p>
      <w:pPr>
        <w:jc w:val="both"/>
      </w:pPr>
      <w:r>
        <w:rPr>
          <w:b w:val="0"/>
          <w:i w:val="0"/>
        </w:rPr>
        <w:t>Measuring that molecular weight is harder for a biopolymer than for a synthetic one. Cellulose dissolves in no standard SEC eluent and has to be derivatised or forced into an aggressive solvent first, and even then aggregation and branching distort an SEC calibrated on linear standards. SEC-MALS and Mark-Houwink viscometry avoid the calibration problem, but Mark-Houwink parameters are missing for many biopolymer/solvent pairs. Published values for one material therefore often differ by a factor of ten, part of the spread coming from differences in solvent, sample preparation, calibration and method, which is why a number only means something quoted with how it was obtained.</w:t>
      </w:r>
    </w:p>
    <w:p>
      <w:pPr>
        <w:spacing w:line="240" w:lineRule="auto" w:after="40"/>
      </w:pPr>
      <w:r>
        <w:rPr>
          <w:b/>
          <w:i w:val="0"/>
          <w:sz w:val="20"/>
        </w:rPr>
        <w:t>Table 3.</w:t>
      </w:r>
      <w:r>
        <w:rPr>
          <w:b w:val="0"/>
          <w:i w:val="0"/>
          <w:sz w:val="20"/>
        </w:rPr>
        <w:t xml:space="preserve"> Typical number-average molecular weight for representative biopolymers, with the standard method by which each is measured (dispersity Đ is plotted in Fig. 3 instead of repeated here).</w:t>
      </w:r>
    </w:p>
    <w:tbl>
      <w:tblPr>
        <w:tblW w:type="auto" w:w="0"/>
        <w:jc w:val="center"/>
        <w:tblLayout w:type="fixed"/>
        <w:tblLook w:firstColumn="1" w:firstRow="1" w:lastColumn="0" w:lastRow="0" w:noHBand="0" w:noVBand="1" w:val="04A0"/>
        <w:tblLayout w:type="fixed"/>
      </w:tblPr>
      <w:tblGrid>
        <w:gridCol w:w="2251"/>
        <w:gridCol w:w="3037"/>
        <w:gridCol w:w="3638"/>
      </w:tblGrid>
      <w:tr>
        <w:tc>
          <w:tcPr>
            <w:tcW w:type="dxa" w:w="2251"/>
            <w:tcBorders>
              <w:top w:val="single" w:sz="8" w:space="0" w:color="000000"/>
              <w:bottom w:val="single" w:sz="8" w:space="0" w:color="000000"/>
            </w:tcBorders>
          </w:tcPr>
          <w:p>
            <w:pPr>
              <w:spacing w:after="10" w:before="10" w:line="240" w:lineRule="auto"/>
            </w:pPr>
            <w:r>
              <w:rPr>
                <w:rFonts w:ascii="Arial" w:hAnsi="Arial"/>
                <w:b/>
                <w:i w:val="0"/>
                <w:sz w:val="16"/>
              </w:rPr>
              <w:t>Material</w:t>
            </w:r>
          </w:p>
        </w:tc>
        <w:tc>
          <w:tcPr>
            <w:tcW w:type="dxa" w:w="3038"/>
            <w:tcBorders>
              <w:top w:val="single" w:sz="8" w:space="0" w:color="000000"/>
              <w:bottom w:val="single" w:sz="8" w:space="0" w:color="000000"/>
            </w:tcBorders>
          </w:tcPr>
          <w:p>
            <w:pPr>
              <w:spacing w:after="10" w:before="10" w:line="240" w:lineRule="auto"/>
            </w:pPr>
            <w:r>
              <w:rPr>
                <w:rFonts w:ascii="Arial" w:hAnsi="Arial"/>
                <w:b/>
                <w:i w:val="0"/>
                <w:sz w:val="16"/>
              </w:rPr>
              <w:t>Typical Mn (g mol⁻¹)</w:t>
            </w:r>
          </w:p>
        </w:tc>
        <w:tc>
          <w:tcPr>
            <w:tcW w:type="dxa" w:w="3639"/>
            <w:tcBorders>
              <w:top w:val="single" w:sz="8" w:space="0" w:color="000000"/>
              <w:bottom w:val="single" w:sz="8" w:space="0" w:color="000000"/>
            </w:tcBorders>
          </w:tcPr>
          <w:p>
            <w:pPr>
              <w:spacing w:after="10" w:before="10" w:line="240" w:lineRule="auto"/>
            </w:pPr>
            <w:r>
              <w:rPr>
                <w:rFonts w:ascii="Arial" w:hAnsi="Arial"/>
                <w:b/>
                <w:i w:val="0"/>
                <w:sz w:val="16"/>
              </w:rPr>
              <w:t>Standard method (key limitation)</w:t>
            </w:r>
          </w:p>
        </w:tc>
      </w:tr>
      <w:tr>
        <w:tc>
          <w:tcPr>
            <w:tcW w:type="dxa" w:w="2251"/>
            <w:tcBorders>
              <w:top w:val="nil"/>
              <w:bottom w:val="nil"/>
            </w:tcBorders>
          </w:tcPr>
          <w:p>
            <w:pPr>
              <w:spacing w:after="10" w:before="10" w:line="240" w:lineRule="auto"/>
            </w:pPr>
            <w:r>
              <w:rPr>
                <w:rFonts w:ascii="Arial" w:hAnsi="Arial"/>
                <w:b w:val="0"/>
                <w:i w:val="0"/>
                <w:sz w:val="16"/>
              </w:rPr>
              <w:t>Proteins / DNA / RNA</w:t>
            </w:r>
          </w:p>
        </w:tc>
        <w:tc>
          <w:tcPr>
            <w:tcW w:type="dxa" w:w="3038"/>
            <w:tcBorders>
              <w:top w:val="nil"/>
              <w:bottom w:val="nil"/>
            </w:tcBorders>
          </w:tcPr>
          <w:p>
            <w:pPr>
              <w:spacing w:after="10" w:before="10" w:line="240" w:lineRule="auto"/>
            </w:pPr>
            <w:r>
              <w:rPr>
                <w:rFonts w:ascii="Arial" w:hAnsi="Arial"/>
                <w:b w:val="0"/>
                <w:i w:val="0"/>
                <w:sz w:val="16"/>
              </w:rPr>
              <w:t>sequence-specific</w:t>
            </w:r>
          </w:p>
        </w:tc>
        <w:tc>
          <w:tcPr>
            <w:tcW w:type="dxa" w:w="3639"/>
            <w:tcBorders>
              <w:top w:val="nil"/>
              <w:bottom w:val="nil"/>
            </w:tcBorders>
          </w:tcPr>
          <w:p>
            <w:pPr>
              <w:spacing w:after="10" w:before="10" w:line="240" w:lineRule="auto"/>
            </w:pPr>
            <w:r>
              <w:rPr>
                <w:rFonts w:ascii="Arial" w:hAnsi="Arial"/>
                <w:b w:val="0"/>
                <w:i w:val="0"/>
                <w:sz w:val="16"/>
              </w:rPr>
              <w:t>mass spectrometry / sequence-based methods</w:t>
            </w:r>
          </w:p>
        </w:tc>
      </w:tr>
      <w:tr>
        <w:tc>
          <w:tcPr>
            <w:tcW w:type="dxa" w:w="2251"/>
            <w:tcBorders>
              <w:top w:val="nil"/>
              <w:bottom w:val="nil"/>
            </w:tcBorders>
          </w:tcPr>
          <w:p>
            <w:pPr>
              <w:spacing w:after="10" w:before="10" w:line="240" w:lineRule="auto"/>
            </w:pPr>
            <w:r>
              <w:rPr>
                <w:rFonts w:ascii="Arial" w:hAnsi="Arial"/>
                <w:b w:val="0"/>
                <w:i w:val="0"/>
                <w:sz w:val="16"/>
              </w:rPr>
              <w:t>Cellulose</w:t>
            </w:r>
          </w:p>
        </w:tc>
        <w:tc>
          <w:tcPr>
            <w:tcW w:type="dxa" w:w="3038"/>
            <w:tcBorders>
              <w:top w:val="nil"/>
              <w:bottom w:val="nil"/>
            </w:tcBorders>
          </w:tcPr>
          <w:p>
            <w:pPr>
              <w:spacing w:after="10" w:before="10" w:line="240" w:lineRule="auto"/>
            </w:pPr>
            <w:r>
              <w:rPr>
                <w:rFonts w:ascii="Arial" w:hAnsi="Arial"/>
                <w:b w:val="0"/>
                <w:i w:val="0"/>
                <w:sz w:val="16"/>
              </w:rPr>
              <w:t>10⁴–10⁶</w:t>
            </w:r>
          </w:p>
        </w:tc>
        <w:tc>
          <w:tcPr>
            <w:tcW w:type="dxa" w:w="3639"/>
            <w:tcBorders>
              <w:top w:val="nil"/>
              <w:bottom w:val="nil"/>
            </w:tcBorders>
          </w:tcPr>
          <w:p>
            <w:pPr>
              <w:spacing w:after="10" w:before="10" w:line="240" w:lineRule="auto"/>
            </w:pPr>
            <w:r>
              <w:rPr>
                <w:rFonts w:ascii="Arial" w:hAnsi="Arial"/>
                <w:b w:val="0"/>
                <w:i w:val="0"/>
                <w:sz w:val="16"/>
              </w:rPr>
              <w:t>viscometry / SEC-MALS after derivatisation (SEC-insoluble)</w:t>
            </w:r>
          </w:p>
        </w:tc>
      </w:tr>
      <w:tr>
        <w:tc>
          <w:tcPr>
            <w:tcW w:type="dxa" w:w="2251"/>
            <w:tcBorders>
              <w:top w:val="nil"/>
              <w:bottom w:val="nil"/>
            </w:tcBorders>
          </w:tcPr>
          <w:p>
            <w:pPr>
              <w:spacing w:after="10" w:before="10" w:line="240" w:lineRule="auto"/>
            </w:pPr>
            <w:r>
              <w:rPr>
                <w:rFonts w:ascii="Arial" w:hAnsi="Arial"/>
                <w:b w:val="0"/>
                <w:i w:val="0"/>
                <w:sz w:val="16"/>
              </w:rPr>
              <w:t>Chitosan</w:t>
            </w:r>
          </w:p>
        </w:tc>
        <w:tc>
          <w:tcPr>
            <w:tcW w:type="dxa" w:w="3038"/>
            <w:tcBorders>
              <w:top w:val="nil"/>
              <w:bottom w:val="nil"/>
            </w:tcBorders>
          </w:tcPr>
          <w:p>
            <w:pPr>
              <w:spacing w:after="10" w:before="10" w:line="240" w:lineRule="auto"/>
            </w:pPr>
            <w:r>
              <w:rPr>
                <w:rFonts w:ascii="Arial" w:hAnsi="Arial"/>
                <w:b w:val="0"/>
                <w:i w:val="0"/>
                <w:sz w:val="16"/>
              </w:rPr>
              <w:t>10⁴–10⁶</w:t>
            </w:r>
          </w:p>
        </w:tc>
        <w:tc>
          <w:tcPr>
            <w:tcW w:type="dxa" w:w="3639"/>
            <w:tcBorders>
              <w:top w:val="nil"/>
              <w:bottom w:val="nil"/>
            </w:tcBorders>
          </w:tcPr>
          <w:p>
            <w:pPr>
              <w:spacing w:after="10" w:before="10" w:line="240" w:lineRule="auto"/>
            </w:pPr>
            <w:r>
              <w:rPr>
                <w:rFonts w:ascii="Arial" w:hAnsi="Arial"/>
                <w:b w:val="0"/>
                <w:i w:val="0"/>
                <w:sz w:val="16"/>
              </w:rPr>
              <w:t>intrinsic viscosity (DD/MW trade-off, Section 3.1)</w:t>
            </w:r>
          </w:p>
        </w:tc>
      </w:tr>
      <w:tr>
        <w:tc>
          <w:tcPr>
            <w:tcW w:type="dxa" w:w="2251"/>
            <w:tcBorders>
              <w:top w:val="nil"/>
              <w:bottom w:val="nil"/>
            </w:tcBorders>
          </w:tcPr>
          <w:p>
            <w:pPr>
              <w:spacing w:after="10" w:before="10" w:line="240" w:lineRule="auto"/>
            </w:pPr>
            <w:r>
              <w:rPr>
                <w:rFonts w:ascii="Arial" w:hAnsi="Arial"/>
                <w:b w:val="0"/>
                <w:i w:val="0"/>
                <w:sz w:val="16"/>
              </w:rPr>
              <w:t>PHA (PHB/PHBV)</w:t>
            </w:r>
          </w:p>
        </w:tc>
        <w:tc>
          <w:tcPr>
            <w:tcW w:type="dxa" w:w="3038"/>
            <w:tcBorders>
              <w:top w:val="nil"/>
              <w:bottom w:val="nil"/>
            </w:tcBorders>
          </w:tcPr>
          <w:p>
            <w:pPr>
              <w:spacing w:after="10" w:before="10" w:line="240" w:lineRule="auto"/>
            </w:pPr>
            <w:r>
              <w:rPr>
                <w:rFonts w:ascii="Arial" w:hAnsi="Arial"/>
                <w:b w:val="0"/>
                <w:i w:val="0"/>
                <w:sz w:val="16"/>
              </w:rPr>
              <w:t>10⁵–10⁶</w:t>
            </w:r>
          </w:p>
        </w:tc>
        <w:tc>
          <w:tcPr>
            <w:tcW w:type="dxa" w:w="3639"/>
            <w:tcBorders>
              <w:top w:val="nil"/>
              <w:bottom w:val="nil"/>
            </w:tcBorders>
          </w:tcPr>
          <w:p>
            <w:pPr>
              <w:spacing w:after="10" w:before="10" w:line="240" w:lineRule="auto"/>
            </w:pPr>
            <w:r>
              <w:rPr>
                <w:rFonts w:ascii="Arial" w:hAnsi="Arial"/>
                <w:b w:val="0"/>
                <w:i w:val="0"/>
                <w:sz w:val="16"/>
              </w:rPr>
              <w:t>GPC/SEC vs polystyrene (calibration mismatch)</w:t>
            </w:r>
          </w:p>
        </w:tc>
      </w:tr>
      <w:tr>
        <w:tc>
          <w:tcPr>
            <w:tcW w:type="dxa" w:w="2251"/>
            <w:tcBorders>
              <w:top w:val="nil"/>
              <w:bottom w:val="nil"/>
            </w:tcBorders>
          </w:tcPr>
          <w:p>
            <w:pPr>
              <w:spacing w:after="10" w:before="10" w:line="240" w:lineRule="auto"/>
            </w:pPr>
            <w:r>
              <w:rPr>
                <w:rFonts w:ascii="Arial" w:hAnsi="Arial"/>
                <w:b w:val="0"/>
                <w:i w:val="0"/>
                <w:sz w:val="16"/>
              </w:rPr>
              <w:t>PLA</w:t>
            </w:r>
          </w:p>
        </w:tc>
        <w:tc>
          <w:tcPr>
            <w:tcW w:type="dxa" w:w="3038"/>
            <w:tcBorders>
              <w:top w:val="nil"/>
              <w:bottom w:val="nil"/>
            </w:tcBorders>
          </w:tcPr>
          <w:p>
            <w:pPr>
              <w:spacing w:after="10" w:before="10" w:line="240" w:lineRule="auto"/>
            </w:pPr>
            <w:r>
              <w:rPr>
                <w:rFonts w:ascii="Arial" w:hAnsi="Arial"/>
                <w:b w:val="0"/>
                <w:i w:val="0"/>
                <w:sz w:val="16"/>
              </w:rPr>
              <w:t>10⁴–10⁵</w:t>
            </w:r>
          </w:p>
        </w:tc>
        <w:tc>
          <w:tcPr>
            <w:tcW w:type="dxa" w:w="3639"/>
            <w:tcBorders>
              <w:top w:val="nil"/>
              <w:bottom w:val="nil"/>
            </w:tcBorders>
          </w:tcPr>
          <w:p>
            <w:pPr>
              <w:spacing w:after="10" w:before="10" w:line="240" w:lineRule="auto"/>
            </w:pPr>
            <w:r>
              <w:rPr>
                <w:rFonts w:ascii="Arial" w:hAnsi="Arial"/>
                <w:b w:val="0"/>
                <w:i w:val="0"/>
                <w:sz w:val="16"/>
              </w:rPr>
              <w:t>GPC/SEC (in-process moisture hydrolysis)</w:t>
            </w:r>
          </w:p>
        </w:tc>
      </w:tr>
      <w:tr>
        <w:tc>
          <w:tcPr>
            <w:tcW w:type="dxa" w:w="2251"/>
            <w:tcBorders>
              <w:top w:val="nil"/>
              <w:bottom w:val="single" w:sz="8" w:space="0" w:color="000000"/>
            </w:tcBorders>
          </w:tcPr>
          <w:p>
            <w:pPr>
              <w:spacing w:after="10" w:before="10" w:line="240" w:lineRule="auto"/>
            </w:pPr>
            <w:r>
              <w:rPr>
                <w:rFonts w:ascii="Arial" w:hAnsi="Arial"/>
                <w:b w:val="0"/>
                <w:i w:val="0"/>
                <w:sz w:val="16"/>
              </w:rPr>
              <w:t>Natural rubber</w:t>
            </w:r>
          </w:p>
        </w:tc>
        <w:tc>
          <w:tcPr>
            <w:tcW w:type="dxa" w:w="3038"/>
            <w:tcBorders>
              <w:top w:val="nil"/>
              <w:bottom w:val="single" w:sz="8" w:space="0" w:color="000000"/>
            </w:tcBorders>
          </w:tcPr>
          <w:p>
            <w:pPr>
              <w:spacing w:after="10" w:before="10" w:line="240" w:lineRule="auto"/>
            </w:pPr>
            <w:r>
              <w:rPr>
                <w:rFonts w:ascii="Arial" w:hAnsi="Arial"/>
                <w:b w:val="0"/>
                <w:i w:val="0"/>
                <w:sz w:val="16"/>
              </w:rPr>
              <w:t>&gt;10⁶</w:t>
            </w:r>
          </w:p>
        </w:tc>
        <w:tc>
          <w:tcPr>
            <w:tcW w:type="dxa" w:w="3639"/>
            <w:tcBorders>
              <w:top w:val="nil"/>
              <w:bottom w:val="single" w:sz="8" w:space="0" w:color="000000"/>
            </w:tcBorders>
          </w:tcPr>
          <w:p>
            <w:pPr>
              <w:spacing w:after="10" w:before="10" w:line="240" w:lineRule="auto"/>
            </w:pPr>
            <w:r>
              <w:rPr>
                <w:rFonts w:ascii="Arial" w:hAnsi="Arial"/>
                <w:b w:val="0"/>
                <w:i w:val="0"/>
                <w:sz w:val="16"/>
              </w:rPr>
              <w:t>intrinsic viscosity (Mark-Houwink calibration; gel fraction)</w:t>
            </w:r>
          </w:p>
        </w:tc>
      </w:tr>
    </w:tbl>
    <w:p>
      <w:pPr>
        <w:spacing w:after="0" w:line="240" w:lineRule="auto"/>
      </w:pPr>
    </w:p>
    <w:p>
      <w:pPr>
        <w:jc w:val="center"/>
      </w:pPr>
      <w:r>
        <w:rPr>
          <w:i/>
        </w:rPr>
        <w:t>Mn values are order-of-magnitude; the method column and its limitations follow refs [39,46] and Section 4.</w:t>
      </w:r>
    </w:p>
    <w:p>
      <w:pPr>
        <w:pStyle w:val="Heading1"/>
      </w:pPr>
      <w:r>
        <w:t>5. General Property Patterns</w:t>
      </w:r>
    </w:p>
    <w:p>
      <w:pPr>
        <w:jc w:val="both"/>
      </w:pPr>
      <w:r>
        <w:rPr>
          <w:b w:val="0"/>
          <w:i w:val="0"/>
        </w:rPr>
        <w:t>Having gone through the families one by one, it is worth stepping back to what they have in common.</w:t>
      </w:r>
    </w:p>
    <w:p>
      <w:pPr>
        <w:pStyle w:val="Heading2"/>
      </w:pPr>
      <w:r>
        <w:t>5.1 Thermal Behaviour</w:t>
      </w:r>
    </w:p>
    <w:p>
      <w:pPr>
        <w:jc w:val="both"/>
      </w:pPr>
      <w:r>
        <w:rPr>
          <w:b w:val="0"/>
          <w:i w:val="0"/>
        </w:rPr>
        <w:t>In many biopolymers the usable processing temperature is limited by thermal decomposition rather than by melting (Fig. 4a), though for different reasons in different families. In strongly hydrogen-bonded polymers such as cellulose, chitosan and silk fibroin, polar interactions raise the melting point until it meets the decomposition onset, so these materials can decompose before a practical melting transition. Melt-processable polyesters such as PHB and PLA have a different limit: they melt well below their decomposition onset, but degradation reactions, melt hydrolysis among them, set in close to processing temperatures, leaving a narrow window of about 20 °C for PHB, 55 °C for PHBV and a little more for PLLA [44].</w:t>
      </w:r>
    </w:p>
    <w:p>
      <w:pPr>
        <w:jc w:val="both"/>
      </w:pPr>
      <w:r>
        <w:rPr>
          <w:b w:val="0"/>
          <w:i w:val="0"/>
        </w:rPr>
        <w:t>The width of that window also shapes the processing route. PBS, PLA and PHB can be melt-processed; cellulose and chitosan, with no window at all, are shaped from solution instead. Plasticisation, nucleation control and blending can each modify processing behaviour, although by different mechanisms, so a lot of what gets called a "performance shortfall" is really a processing-window shortfall.</w:t>
      </w:r>
    </w:p>
    <w:p>
      <w:pPr>
        <w:pStyle w:val="Heading2"/>
      </w:pPr>
      <w:r>
        <w:t>5.2 Mechanical Behaviour</w:t>
      </w:r>
    </w:p>
    <w:p>
      <w:pPr>
        <w:jc w:val="both"/>
      </w:pPr>
      <w:r>
        <w:rPr>
          <w:b w:val="0"/>
          <w:i w:val="0"/>
        </w:rPr>
        <w:t>Mechanical behaviour traces to the same place (Fig. 4b). Crystallinity and hydrogen bonding raise the modulus but leave the chain with few flexible segments, so many highly crystalline or strongly hydrogen-bonded biopolymers draw out far less than polyethylene or polypropylene before they break. Most of them sit in the high-modulus, low-elongation corner of the map, away from LDPE, PP and PET [11,43]. Natural rubber is the outlier, with almost no modulus when relaxed and its properties appearing only under load through SIC. The shapes in Fig. 4b are ranges, not points: sample form, moisture, crystallinity and thermal history can each shift a material's data by up to a factor of ten, the scatter that returns as batch variability in Section 6.2.</w:t>
      </w:r>
    </w:p>
    <w:p>
      <w:pPr>
        <w:keepNext/>
        <w:spacing w:after="40"/>
        <w:jc w:val="center"/>
      </w:pPr>
      <w:r>
        <w:drawing>
          <wp:inline xmlns:a="http://schemas.openxmlformats.org/drawingml/2006/main" xmlns:pic="http://schemas.openxmlformats.org/drawingml/2006/picture">
            <wp:extent cx="4114800" cy="1791450"/>
            <wp:docPr id="4" name="Picture 4"/>
            <wp:cNvGraphicFramePr>
              <a:graphicFrameLocks noChangeAspect="1"/>
            </wp:cNvGraphicFramePr>
            <a:graphic>
              <a:graphicData uri="http://schemas.openxmlformats.org/drawingml/2006/picture">
                <pic:pic>
                  <pic:nvPicPr>
                    <pic:cNvPr id="0" name="fig_property_maps.png"/>
                    <pic:cNvPicPr/>
                  </pic:nvPicPr>
                  <pic:blipFill>
                    <a:blip r:embed="rId13"/>
                    <a:stretch>
                      <a:fillRect/>
                    </a:stretch>
                  </pic:blipFill>
                  <pic:spPr>
                    <a:xfrm>
                      <a:off x="0" y="0"/>
                      <a:ext cx="4114800" cy="1791450"/>
                    </a:xfrm>
                    <a:prstGeom prst="rect"/>
                  </pic:spPr>
                </pic:pic>
              </a:graphicData>
            </a:graphic>
          </wp:inline>
        </w:drawing>
      </w:r>
    </w:p>
    <w:p>
      <w:pPr>
        <w:spacing w:line="240" w:lineRule="auto" w:after="80"/>
        <w:jc w:val="center"/>
      </w:pPr>
      <w:r>
        <w:rPr>
          <w:i/>
          <w:sz w:val="20"/>
        </w:rPr>
        <w:t>Figure 4. Thermal and mechanical envelopes. (a) Tg (open circle), Tm (diamond) and TGA decomposition onset (bar) on one temperature axis; the shaded band is the melt-processing window, labelled with its width. (b) Modulus vs. elongation at break (log-log axes); ellipses span literature ranges for the stated sample form, not error bars. LDPE, PP and PET shown for reference.</w:t>
      </w:r>
    </w:p>
    <w:p>
      <w:pPr>
        <w:pStyle w:val="Heading2"/>
      </w:pPr>
      <w:r>
        <w:t>5.3 Hydrophilicity and Barrier Properties</w:t>
      </w:r>
    </w:p>
    <w:p>
      <w:pPr>
        <w:jc w:val="both"/>
      </w:pPr>
      <w:r>
        <w:rPr>
          <w:b w:val="0"/>
          <w:i w:val="0"/>
        </w:rPr>
        <w:t>The polar groups that make biopolymers strong also make them take up water, and the hydroxyl- and amide-rich families take up the most: cellulose, starch and the proteins can hold a large fraction of their weight in water at high humidity, while a polyester such as PLA takes up far less. Even that small uptake matters. Absorbed water plasticises the amorphous fraction and lowers the glass transition, which is why a starch article that is stiff when dry turns limp as humidity rises and keeps drifting in storage. It also opens up free volume, so gases pass through faster: a dry PLA film has an oxygen permeability close to PET's [11], but the value climbs with humidity, and PLA's water-vapour barrier is poorer than PET's to begin with [14], while a plain cellulose or starch film is barely a barrier at all. A barrier rating for a biopolymer film therefore says little without the humidity it was measured at, and moisture-sensitive goods are usually packed behind a thin synthetic layer rather than the biopolymer alone. Molecular-dynamics simulations of oxygen and water in PLA reproduce the humidity dependence through the fractional free volume and can rank films before a packaging trial [57,58].</w:t>
      </w:r>
    </w:p>
    <w:p>
      <w:pPr>
        <w:pStyle w:val="Heading2"/>
      </w:pPr>
      <w:r>
        <w:t>5.4 Degradation as a Material Property</w:t>
      </w:r>
    </w:p>
    <w:p>
      <w:pPr>
        <w:jc w:val="both"/>
      </w:pPr>
      <w:r>
        <w:rPr>
          <w:b w:val="0"/>
          <w:i w:val="0"/>
        </w:rPr>
        <w:t>Degradation is a rate process that structure controls, as Fig. 5 lays out. Polyesters go by a self-feeding ester hydrolysis: the acid chain end from each scission speeds up the next, so past a certain thickness a part erodes from the inside, which is bulk erosion [49]. Polysaccharides and proteins instead need enzymes, which act more readily on accessible amorphous regions, so higher crystallinity usually slows degradation and the rate follows the accessible surface rather than the bulk chemistry [50]. This is why crystallinity is the trade-off at the centre of the review: the order that raises the modulus and keeps water out also keeps out what would degrade the material. Quantum-chemical work has mapped the base-catalysed and the water-assisted neutral paths, reproducing why polyesters hydrolyse far faster in acid or base than at neutral pH [59,60].</w:t>
      </w:r>
    </w:p>
    <w:p>
      <w:pPr>
        <w:keepNext/>
        <w:spacing w:after="40"/>
        <w:jc w:val="center"/>
      </w:pPr>
      <w:r>
        <w:drawing>
          <wp:inline xmlns:a="http://schemas.openxmlformats.org/drawingml/2006/main" xmlns:pic="http://schemas.openxmlformats.org/drawingml/2006/picture">
            <wp:extent cx="4114800" cy="967465"/>
            <wp:docPr id="5" name="Picture 5"/>
            <wp:cNvGraphicFramePr>
              <a:graphicFrameLocks noChangeAspect="1"/>
            </wp:cNvGraphicFramePr>
            <a:graphic>
              <a:graphicData uri="http://schemas.openxmlformats.org/drawingml/2006/picture">
                <pic:pic>
                  <pic:nvPicPr>
                    <pic:cNvPr id="0" name="fig_degradation.png"/>
                    <pic:cNvPicPr/>
                  </pic:nvPicPr>
                  <pic:blipFill>
                    <a:blip r:embed="rId14"/>
                    <a:stretch>
                      <a:fillRect/>
                    </a:stretch>
                  </pic:blipFill>
                  <pic:spPr>
                    <a:xfrm>
                      <a:off x="0" y="0"/>
                      <a:ext cx="4114800" cy="967465"/>
                    </a:xfrm>
                    <a:prstGeom prst="rect"/>
                  </pic:spPr>
                </pic:pic>
              </a:graphicData>
            </a:graphic>
          </wp:inline>
        </w:drawing>
      </w:r>
    </w:p>
    <w:p>
      <w:pPr>
        <w:spacing w:line="240" w:lineRule="auto" w:after="80"/>
        <w:jc w:val="center"/>
      </w:pPr>
      <w:r>
        <w:rPr>
          <w:i/>
          <w:sz w:val="20"/>
        </w:rPr>
        <w:t>Figure 5. Two degradation routes. (a) Polyester ester hydrolysis: the acid end group catalyses further scission, so thick parts erode from the inside (bulk erosion). (b) Enzymatic attack on polysaccharides and proteins occurs preferentially in accessible amorphous regions, so increasing crystallinity generally slows degradation.</w:t>
      </w:r>
    </w:p>
    <w:p>
      <w:pPr>
        <w:pStyle w:val="Heading1"/>
      </w:pPr>
      <w:r>
        <w:t>6. Advantages and Disadvantages Compared with Synthetic Polymers</w:t>
      </w:r>
    </w:p>
    <w:p>
      <w:pPr>
        <w:pStyle w:val="Heading2"/>
      </w:pPr>
      <w:r>
        <w:t>6.1 Advantages</w:t>
      </w:r>
    </w:p>
    <w:p>
      <w:pPr>
        <w:jc w:val="both"/>
      </w:pPr>
      <w:r>
        <w:rPr>
          <w:b w:val="0"/>
          <w:i w:val="0"/>
        </w:rPr>
        <w:t>Biopolymers bring four broad advantages over commodity synthetics. Only one holds for every family: the feedstock renews itself. Biodegradability counts mainly where the material ends up loose in the environment, in mulch film, fishing gear or disposable foodware, and there ready hydrolysis or enzymatic breakdown is the point rather than a defect, given a suitable disposal route [51]. Biocompatibility and bioresorbability let PLA and PGA sutures [52], and hydrogels and dressings of collagen, alginate and chitosan [55], do jobs a commodity plastic could reach only after costly modification; this is where biopolymers hold their most distinctive advantage, since biocompatibility with a controlled degradation rate is hard to match otherwise. And function beyond mechanics, chirality, a pH-dependent charge, bioactivity in the sequence, comes with the biological structure for free.</w:t>
      </w:r>
    </w:p>
    <w:p>
      <w:pPr>
        <w:pStyle w:val="Heading2"/>
      </w:pPr>
      <w:r>
        <w:t>6.2 Disadvantages</w:t>
      </w:r>
    </w:p>
    <w:p>
      <w:pPr>
        <w:jc w:val="both"/>
      </w:pPr>
      <w:r>
        <w:rPr>
          <w:b w:val="0"/>
          <w:i w:val="0"/>
        </w:rPr>
        <w:t>The disadvantages are as real as the advantages. PLA usually costs several times commodity PE and PP, PHA more again [16,53]. Un-stereocomplexed PLA has a heat deflection temperature of only about 55 to 65 °C, against roughly 100 °C for PP [11,13]. Its oxygen and CO₂ barrier matches PET's, but the water-vapour barrier is worse and a starch film worse still [14]. Ageing adds to both: PHB embrittles through secondary crystallisation [61], PLA through sub-Tg physical ageing [43], starch drifts with humidity, and PLA must be dried before melt processing or its molecular weight runs away.</w:t>
      </w:r>
    </w:p>
    <w:p>
      <w:pPr>
        <w:jc w:val="both"/>
      </w:pPr>
      <w:r>
        <w:rPr>
          <w:b w:val="0"/>
          <w:i w:val="0"/>
        </w:rPr>
        <w:t>Agricultural sourcing also brings a batch-to-batch variability that petrochemical monomers lack, in the M/G ratio of alginate, the deacetylation of chitosan, the amylose content of starch and the clone and age of the rubber tree [19]. Recycling fit is another limit: a 2022 study found PLA at only 0 to 0.019% of PET recycling streams, held there by near-infrared sorting and below the roughly 1% that measurably degrades recycled PET [15], a dependence on sorting infrastructure rather than a true incompatibility.</w:t>
      </w:r>
    </w:p>
    <w:p>
      <w:pPr>
        <w:pStyle w:val="Heading2"/>
      </w:pPr>
      <w:r>
        <w:t>6.3 Case Study: Natural Rubber and a Synthetic Analogue (SBR)</w:t>
      </w:r>
    </w:p>
    <w:p>
      <w:pPr>
        <w:jc w:val="both"/>
      </w:pPr>
      <w:r>
        <w:rPr>
          <w:b w:val="0"/>
          <w:i w:val="0"/>
        </w:rPr>
        <w:t>NR and styrene-butadiene rubber (SBR) are compounded, filled and vulcanised the same way and compete for the same jobs, tyre tread, damping, belting, so whatever separates them comes from the backbone, not processing, which makes it the cleanest same-application comparison in the review. Fig. 6 shows where the difference starts at the chain scale; Table 4 scores the two on five counts [10,18–32].</w:t>
      </w:r>
    </w:p>
    <w:p>
      <w:pPr>
        <w:keepNext/>
        <w:spacing w:after="40"/>
        <w:jc w:val="center"/>
      </w:pPr>
      <w:r>
        <w:drawing>
          <wp:inline xmlns:a="http://schemas.openxmlformats.org/drawingml/2006/main" xmlns:pic="http://schemas.openxmlformats.org/drawingml/2006/picture">
            <wp:extent cx="4114800" cy="1548559"/>
            <wp:docPr id="6" name="Picture 6"/>
            <wp:cNvGraphicFramePr>
              <a:graphicFrameLocks noChangeAspect="1"/>
            </wp:cNvGraphicFramePr>
            <a:graphic>
              <a:graphicData uri="http://schemas.openxmlformats.org/drawingml/2006/picture">
                <pic:pic>
                  <pic:nvPicPr>
                    <pic:cNvPr id="0" name="fig8_nr_sbr_comparison.png"/>
                    <pic:cNvPicPr/>
                  </pic:nvPicPr>
                  <pic:blipFill>
                    <a:blip r:embed="rId15"/>
                    <a:stretch>
                      <a:fillRect/>
                    </a:stretch>
                  </pic:blipFill>
                  <pic:spPr>
                    <a:xfrm>
                      <a:off x="0" y="0"/>
                      <a:ext cx="4114800" cy="1548559"/>
                    </a:xfrm>
                    <a:prstGeom prst="rect"/>
                  </pic:spPr>
                </pic:pic>
              </a:graphicData>
            </a:graphic>
          </wp:inline>
        </w:drawing>
      </w:r>
    </w:p>
    <w:p>
      <w:pPr>
        <w:spacing w:line="240" w:lineRule="auto" w:after="80"/>
        <w:jc w:val="center"/>
      </w:pPr>
      <w:r>
        <w:rPr>
          <w:i/>
          <w:sz w:val="20"/>
        </w:rPr>
        <w:t>Figure 6. NR and SBR. (a) NR cis-1,4-polyisoprene; (b) SBR butadiene unit; (c) SBR styrene unit. (d) Under strain, stereoregular NR aligns into crystalline bundles (strain-induced crystallisation, X-ray confirmed) while SBR's irregular backbone stays amorphous, the basis of the SIC row of Table 4.</w:t>
      </w:r>
    </w:p>
    <w:p>
      <w:pPr>
        <w:spacing w:line="240" w:lineRule="auto" w:after="40"/>
      </w:pPr>
      <w:r>
        <w:rPr>
          <w:b/>
          <w:i w:val="0"/>
          <w:sz w:val="20"/>
        </w:rPr>
        <w:t>Table 4.</w:t>
      </w:r>
      <w:r>
        <w:rPr>
          <w:b w:val="0"/>
          <w:i w:val="0"/>
          <w:sz w:val="20"/>
        </w:rPr>
        <w:t xml:space="preserve"> NR and SBR compared across five dimensions. Each entry is a structural advantage, a formulation- or context-dependent outcome, or a documented risk.</w:t>
      </w:r>
    </w:p>
    <w:tbl>
      <w:tblPr>
        <w:tblW w:type="auto" w:w="0"/>
        <w:jc w:val="center"/>
        <w:tblLayout w:type="fixed"/>
        <w:tblLook w:firstColumn="1" w:firstRow="1" w:lastColumn="0" w:lastRow="0" w:noHBand="0" w:noVBand="1" w:val="04A0"/>
        <w:tblLayout w:type="fixed"/>
      </w:tblPr>
      <w:tblGrid>
        <w:gridCol w:w="2497"/>
        <w:gridCol w:w="3166"/>
        <w:gridCol w:w="3263"/>
      </w:tblGrid>
      <w:tr>
        <w:tc>
          <w:tcPr>
            <w:tcW w:type="dxa" w:w="2497"/>
            <w:tcBorders>
              <w:top w:val="single" w:sz="8" w:space="0" w:color="000000"/>
              <w:bottom w:val="single" w:sz="8" w:space="0" w:color="000000"/>
            </w:tcBorders>
          </w:tcPr>
          <w:p>
            <w:pPr>
              <w:spacing w:after="10" w:before="10" w:line="240" w:lineRule="auto"/>
            </w:pPr>
            <w:r>
              <w:rPr>
                <w:rFonts w:ascii="Arial" w:hAnsi="Arial"/>
                <w:b/>
                <w:i w:val="0"/>
                <w:sz w:val="16"/>
              </w:rPr>
              <w:t>Dimension</w:t>
            </w:r>
          </w:p>
        </w:tc>
        <w:tc>
          <w:tcPr>
            <w:tcW w:type="dxa" w:w="3167"/>
            <w:tcBorders>
              <w:top w:val="single" w:sz="8" w:space="0" w:color="000000"/>
              <w:bottom w:val="single" w:sz="8" w:space="0" w:color="000000"/>
            </w:tcBorders>
          </w:tcPr>
          <w:p>
            <w:pPr>
              <w:spacing w:after="10" w:before="10" w:line="240" w:lineRule="auto"/>
            </w:pPr>
            <w:r>
              <w:rPr>
                <w:rFonts w:ascii="Arial" w:hAnsi="Arial"/>
                <w:b/>
                <w:i w:val="0"/>
                <w:sz w:val="16"/>
              </w:rPr>
              <w:t>Natural rubber (NR)</w:t>
            </w:r>
          </w:p>
        </w:tc>
        <w:tc>
          <w:tcPr>
            <w:tcW w:type="dxa" w:w="3264"/>
            <w:tcBorders>
              <w:top w:val="single" w:sz="8" w:space="0" w:color="000000"/>
              <w:bottom w:val="single" w:sz="8" w:space="0" w:color="000000"/>
            </w:tcBorders>
          </w:tcPr>
          <w:p>
            <w:pPr>
              <w:spacing w:after="10" w:before="10" w:line="240" w:lineRule="auto"/>
            </w:pPr>
            <w:r>
              <w:rPr>
                <w:rFonts w:ascii="Arial" w:hAnsi="Arial"/>
                <w:b/>
                <w:i w:val="0"/>
                <w:sz w:val="16"/>
              </w:rPr>
              <w:t>SBR</w:t>
            </w:r>
          </w:p>
        </w:tc>
      </w:tr>
      <w:tr>
        <w:tc>
          <w:tcPr>
            <w:tcW w:type="dxa" w:w="2497"/>
            <w:tcBorders>
              <w:top w:val="nil"/>
              <w:bottom w:val="nil"/>
            </w:tcBorders>
          </w:tcPr>
          <w:p>
            <w:pPr>
              <w:spacing w:after="10" w:before="10" w:line="240" w:lineRule="auto"/>
            </w:pPr>
            <w:r>
              <w:rPr>
                <w:rFonts w:ascii="Arial" w:hAnsi="Arial"/>
                <w:b w:val="0"/>
                <w:i w:val="0"/>
                <w:sz w:val="16"/>
              </w:rPr>
              <w:t>Structure / MW control</w:t>
            </w:r>
          </w:p>
        </w:tc>
        <w:tc>
          <w:tcPr>
            <w:tcW w:type="dxa" w:w="3167"/>
            <w:tcBorders>
              <w:top w:val="nil"/>
              <w:bottom w:val="nil"/>
            </w:tcBorders>
          </w:tcPr>
          <w:p>
            <w:pPr>
              <w:spacing w:after="10" w:before="10" w:line="240" w:lineRule="auto"/>
            </w:pPr>
            <w:r>
              <w:rPr>
                <w:rFonts w:ascii="Arial" w:hAnsi="Arial"/>
                <w:b w:val="0"/>
                <w:i w:val="0"/>
                <w:sz w:val="16"/>
              </w:rPr>
              <w:t>Extracted; varies by clone &amp; tree age [19]</w:t>
            </w:r>
          </w:p>
        </w:tc>
        <w:tc>
          <w:tcPr>
            <w:tcW w:type="dxa" w:w="3264"/>
            <w:tcBorders>
              <w:top w:val="nil"/>
              <w:bottom w:val="nil"/>
            </w:tcBorders>
          </w:tcPr>
          <w:p>
            <w:pPr>
              <w:spacing w:after="10" w:before="10" w:line="240" w:lineRule="auto"/>
            </w:pPr>
            <w:r>
              <w:rPr>
                <w:rFonts w:ascii="Arial" w:hAnsi="Arial"/>
                <w:b w:val="0"/>
                <w:i w:val="0"/>
                <w:sz w:val="16"/>
              </w:rPr>
              <w:t>Engineered by emulsion/solution copolymerisation [20,21]</w:t>
            </w:r>
          </w:p>
        </w:tc>
      </w:tr>
      <w:tr>
        <w:tc>
          <w:tcPr>
            <w:tcW w:type="dxa" w:w="2497"/>
            <w:tcBorders>
              <w:top w:val="nil"/>
              <w:bottom w:val="nil"/>
            </w:tcBorders>
          </w:tcPr>
          <w:p>
            <w:pPr>
              <w:spacing w:after="10" w:before="10" w:line="240" w:lineRule="auto"/>
            </w:pPr>
            <w:r>
              <w:rPr>
                <w:rFonts w:ascii="Arial" w:hAnsi="Arial"/>
                <w:b w:val="0"/>
                <w:i w:val="0"/>
                <w:sz w:val="16"/>
              </w:rPr>
              <w:t>SIC &amp; tear resistance</w:t>
            </w:r>
          </w:p>
        </w:tc>
        <w:tc>
          <w:tcPr>
            <w:tcW w:type="dxa" w:w="3167"/>
            <w:tcBorders>
              <w:top w:val="nil"/>
              <w:bottom w:val="nil"/>
            </w:tcBorders>
          </w:tcPr>
          <w:p>
            <w:pPr>
              <w:spacing w:after="10" w:before="10" w:line="240" w:lineRule="auto"/>
            </w:pPr>
            <w:r>
              <w:rPr>
                <w:rFonts w:ascii="Arial" w:hAnsi="Arial"/>
                <w:b w:val="0"/>
                <w:i w:val="0"/>
                <w:sz w:val="16"/>
              </w:rPr>
              <w:t>Favourable: strong strain-induced crystallisation [10,23]; weakens as SBR fraction rises in blends [22]</w:t>
            </w:r>
          </w:p>
        </w:tc>
        <w:tc>
          <w:tcPr>
            <w:tcW w:type="dxa" w:w="3264"/>
            <w:tcBorders>
              <w:top w:val="nil"/>
              <w:bottom w:val="nil"/>
            </w:tcBorders>
          </w:tcPr>
          <w:p>
            <w:pPr>
              <w:spacing w:after="10" w:before="10" w:line="240" w:lineRule="auto"/>
            </w:pPr>
            <w:r>
              <w:rPr>
                <w:rFonts w:ascii="Arial" w:hAnsi="Arial"/>
                <w:b w:val="0"/>
                <w:i w:val="0"/>
                <w:sz w:val="16"/>
              </w:rPr>
              <w:t>Crystallises far less; reaches parity via filler and cure design, not backbone [24–26]</w:t>
            </w:r>
          </w:p>
        </w:tc>
      </w:tr>
      <w:tr>
        <w:tc>
          <w:tcPr>
            <w:tcW w:type="dxa" w:w="2497"/>
            <w:tcBorders>
              <w:top w:val="nil"/>
              <w:bottom w:val="nil"/>
            </w:tcBorders>
          </w:tcPr>
          <w:p>
            <w:pPr>
              <w:spacing w:after="10" w:before="10" w:line="240" w:lineRule="auto"/>
            </w:pPr>
            <w:r>
              <w:rPr>
                <w:rFonts w:ascii="Arial" w:hAnsi="Arial"/>
                <w:b w:val="0"/>
                <w:i w:val="0"/>
                <w:sz w:val="16"/>
              </w:rPr>
              <w:t>Biocompatibility</w:t>
            </w:r>
          </w:p>
        </w:tc>
        <w:tc>
          <w:tcPr>
            <w:tcW w:type="dxa" w:w="3167"/>
            <w:tcBorders>
              <w:top w:val="nil"/>
              <w:bottom w:val="nil"/>
            </w:tcBorders>
          </w:tcPr>
          <w:p>
            <w:pPr>
              <w:spacing w:after="10" w:before="10" w:line="240" w:lineRule="auto"/>
            </w:pPr>
            <w:r>
              <w:rPr>
                <w:rFonts w:ascii="Arial" w:hAnsi="Arial"/>
                <w:b w:val="0"/>
                <w:i w:val="0"/>
                <w:sz w:val="16"/>
              </w:rPr>
              <w:t>Real potential, but latex-protein allergy risk [27,28]</w:t>
            </w:r>
          </w:p>
        </w:tc>
        <w:tc>
          <w:tcPr>
            <w:tcW w:type="dxa" w:w="3264"/>
            <w:tcBorders>
              <w:top w:val="nil"/>
              <w:bottom w:val="nil"/>
            </w:tcBorders>
          </w:tcPr>
          <w:p>
            <w:pPr>
              <w:spacing w:after="10" w:before="10" w:line="240" w:lineRule="auto"/>
            </w:pPr>
            <w:r>
              <w:rPr>
                <w:rFonts w:ascii="Arial" w:hAnsi="Arial"/>
                <w:b w:val="0"/>
                <w:i w:val="0"/>
                <w:sz w:val="16"/>
              </w:rPr>
              <w:t>No unconditional biocompatibility claim [27,28]</w:t>
            </w:r>
          </w:p>
        </w:tc>
      </w:tr>
      <w:tr>
        <w:tc>
          <w:tcPr>
            <w:tcW w:type="dxa" w:w="2497"/>
            <w:tcBorders>
              <w:top w:val="nil"/>
              <w:bottom w:val="nil"/>
            </w:tcBorders>
          </w:tcPr>
          <w:p>
            <w:pPr>
              <w:spacing w:after="10" w:before="10" w:line="240" w:lineRule="auto"/>
            </w:pPr>
            <w:r>
              <w:rPr>
                <w:rFonts w:ascii="Arial" w:hAnsi="Arial"/>
                <w:b w:val="0"/>
                <w:i w:val="0"/>
                <w:sz w:val="16"/>
              </w:rPr>
              <w:t>Environmental footprint</w:t>
            </w:r>
          </w:p>
        </w:tc>
        <w:tc>
          <w:tcPr>
            <w:tcW w:type="dxa" w:w="3167"/>
            <w:tcBorders>
              <w:top w:val="nil"/>
              <w:bottom w:val="nil"/>
            </w:tcBorders>
          </w:tcPr>
          <w:p>
            <w:pPr>
              <w:spacing w:after="10" w:before="10" w:line="240" w:lineRule="auto"/>
            </w:pPr>
            <w:r>
              <w:rPr>
                <w:rFonts w:ascii="Arial" w:hAnsi="Arial"/>
                <w:b w:val="0"/>
                <w:i w:val="0"/>
                <w:sz w:val="16"/>
              </w:rPr>
              <w:t>Renewable, but LCA shows real land/energy cost [29,30]</w:t>
            </w:r>
          </w:p>
        </w:tc>
        <w:tc>
          <w:tcPr>
            <w:tcW w:type="dxa" w:w="3264"/>
            <w:tcBorders>
              <w:top w:val="nil"/>
              <w:bottom w:val="nil"/>
            </w:tcBorders>
          </w:tcPr>
          <w:p>
            <w:pPr>
              <w:spacing w:after="10" w:before="10" w:line="240" w:lineRule="auto"/>
            </w:pPr>
            <w:r>
              <w:rPr>
                <w:rFonts w:ascii="Arial" w:hAnsi="Arial"/>
                <w:b w:val="0"/>
                <w:i w:val="0"/>
                <w:sz w:val="16"/>
              </w:rPr>
              <w:t>Fossil feedstock; biodegradable grades emerging [31]</w:t>
            </w:r>
          </w:p>
        </w:tc>
      </w:tr>
      <w:tr>
        <w:tc>
          <w:tcPr>
            <w:tcW w:type="dxa" w:w="2497"/>
            <w:tcBorders>
              <w:top w:val="nil"/>
              <w:bottom w:val="single" w:sz="8" w:space="0" w:color="000000"/>
            </w:tcBorders>
          </w:tcPr>
          <w:p>
            <w:pPr>
              <w:spacing w:after="10" w:before="10" w:line="240" w:lineRule="auto"/>
            </w:pPr>
            <w:r>
              <w:rPr>
                <w:rFonts w:ascii="Arial" w:hAnsi="Arial"/>
                <w:b w:val="0"/>
                <w:i w:val="0"/>
                <w:sz w:val="16"/>
              </w:rPr>
              <w:t>Price stability</w:t>
            </w:r>
          </w:p>
        </w:tc>
        <w:tc>
          <w:tcPr>
            <w:tcW w:type="dxa" w:w="3167"/>
            <w:tcBorders>
              <w:top w:val="nil"/>
              <w:bottom w:val="single" w:sz="8" w:space="0" w:color="000000"/>
            </w:tcBorders>
          </w:tcPr>
          <w:p>
            <w:pPr>
              <w:spacing w:after="10" w:before="10" w:line="240" w:lineRule="auto"/>
            </w:pPr>
            <w:r>
              <w:rPr>
                <w:rFonts w:ascii="Arial" w:hAnsi="Arial"/>
                <w:b w:val="0"/>
                <w:i w:val="0"/>
                <w:sz w:val="16"/>
              </w:rPr>
              <w:t>Historically the more volatile of the two [32]</w:t>
            </w:r>
          </w:p>
        </w:tc>
        <w:tc>
          <w:tcPr>
            <w:tcW w:type="dxa" w:w="3264"/>
            <w:tcBorders>
              <w:top w:val="nil"/>
              <w:bottom w:val="single" w:sz="8" w:space="0" w:color="000000"/>
            </w:tcBorders>
          </w:tcPr>
          <w:p>
            <w:pPr>
              <w:spacing w:after="10" w:before="10" w:line="240" w:lineRule="auto"/>
            </w:pPr>
            <w:r>
              <w:rPr>
                <w:rFonts w:ascii="Arial" w:hAnsi="Arial"/>
                <w:b w:val="0"/>
                <w:i w:val="0"/>
                <w:sz w:val="16"/>
              </w:rPr>
              <w:t>Steadier, but tied to the petrochemical supply chain [32]</w:t>
            </w:r>
          </w:p>
        </w:tc>
      </w:tr>
    </w:tbl>
    <w:p>
      <w:pPr>
        <w:spacing w:after="0" w:line="240" w:lineRule="auto"/>
      </w:pPr>
    </w:p>
    <w:p>
      <w:pPr>
        <w:jc w:val="both"/>
      </w:pPr>
      <w:r>
        <w:rPr>
          <w:b w:val="0"/>
          <w:i w:val="0"/>
        </w:rPr>
        <w:t>With compounding matched, NR's SIC gives it better initial tear and crack-growth resistance [10,23], and SBR catches up on wear resistance through reinforcement and cure design [24]. It is the review's clearest case of backbone chemistry trading against formulation. The comparison therefore does not support a general assumption that the natural material is intrinsically superior: NR latex carries a real protein-allergy risk that SBR does not [27,28], renewability does not guarantee a smaller life-cycle footprint [29,30], and NR has been the more price-volatile of the two, for reasons unrelated to polymer chemistry [32].</w:t>
      </w:r>
    </w:p>
    <w:p>
      <w:pPr>
        <w:pStyle w:val="Heading1"/>
      </w:pPr>
      <w:r>
        <w:t>7. Applications</w:t>
      </w:r>
    </w:p>
    <w:p>
      <w:pPr>
        <w:jc w:val="both"/>
      </w:pPr>
      <w:r>
        <w:rPr>
          <w:b w:val="0"/>
          <w:i w:val="0"/>
        </w:rPr>
        <w:t>Table 5 pairs each application with the property it needs and the material that meets it. Packaging needs an oxygen barrier, a water-vapour barrier, toughness and heat resistance above PLA's heat deflection temperature at once, so with no single biopolymer covering the set the structure is nearly always multilayer or blended. Biomedical use is where biopolymers have a particular advantage, pairing biocompatibility with a tunable degradation rate; acidic products from PGA and PLGA can lower the local pH and contribute to inflammation and loss of performance [52,53], while collagen, alginate and chitosan carry the same logic to scaffolds and bioprinting [55].</w:t>
      </w:r>
    </w:p>
    <w:p>
      <w:pPr>
        <w:spacing w:line="240" w:lineRule="auto" w:after="40"/>
      </w:pPr>
      <w:r>
        <w:rPr>
          <w:b/>
          <w:i w:val="0"/>
          <w:sz w:val="20"/>
        </w:rPr>
        <w:t>Table 5.</w:t>
      </w:r>
      <w:r>
        <w:rPr>
          <w:b w:val="0"/>
          <w:i w:val="0"/>
          <w:sz w:val="20"/>
        </w:rPr>
        <w:t xml:space="preserve"> Applications, required property, and material.</w:t>
      </w:r>
    </w:p>
    <w:tbl>
      <w:tblPr>
        <w:tblW w:type="auto" w:w="0"/>
        <w:jc w:val="center"/>
        <w:tblLayout w:type="fixed"/>
        <w:tblLook w:firstColumn="1" w:firstRow="1" w:lastColumn="0" w:lastRow="0" w:noHBand="0" w:noVBand="1" w:val="04A0"/>
        <w:tblLayout w:type="fixed"/>
      </w:tblPr>
      <w:tblGrid>
        <w:gridCol w:w="2366"/>
        <w:gridCol w:w="3801"/>
        <w:gridCol w:w="2759"/>
      </w:tblGrid>
      <w:tr>
        <w:tc>
          <w:tcPr>
            <w:tcW w:type="dxa" w:w="2366"/>
            <w:tcBorders>
              <w:top w:val="single" w:sz="8" w:space="0" w:color="000000"/>
              <w:bottom w:val="single" w:sz="8" w:space="0" w:color="000000"/>
            </w:tcBorders>
          </w:tcPr>
          <w:p>
            <w:pPr>
              <w:spacing w:after="10" w:before="10" w:line="240" w:lineRule="auto"/>
            </w:pPr>
            <w:r>
              <w:rPr>
                <w:rFonts w:ascii="Arial" w:hAnsi="Arial"/>
                <w:b/>
                <w:i w:val="0"/>
                <w:sz w:val="16"/>
              </w:rPr>
              <w:t>Application</w:t>
            </w:r>
          </w:p>
        </w:tc>
        <w:tc>
          <w:tcPr>
            <w:tcW w:type="dxa" w:w="3802"/>
            <w:tcBorders>
              <w:top w:val="single" w:sz="8" w:space="0" w:color="000000"/>
              <w:bottom w:val="single" w:sz="8" w:space="0" w:color="000000"/>
            </w:tcBorders>
          </w:tcPr>
          <w:p>
            <w:pPr>
              <w:spacing w:after="10" w:before="10" w:line="240" w:lineRule="auto"/>
            </w:pPr>
            <w:r>
              <w:rPr>
                <w:rFonts w:ascii="Arial" w:hAnsi="Arial"/>
                <w:b/>
                <w:i w:val="0"/>
                <w:sz w:val="16"/>
              </w:rPr>
              <w:t>Key property required</w:t>
            </w:r>
          </w:p>
        </w:tc>
        <w:tc>
          <w:tcPr>
            <w:tcW w:type="dxa" w:w="2760"/>
            <w:tcBorders>
              <w:top w:val="single" w:sz="8" w:space="0" w:color="000000"/>
              <w:bottom w:val="single" w:sz="8" w:space="0" w:color="000000"/>
            </w:tcBorders>
          </w:tcPr>
          <w:p>
            <w:pPr>
              <w:spacing w:after="10" w:before="10" w:line="240" w:lineRule="auto"/>
            </w:pPr>
            <w:r>
              <w:rPr>
                <w:rFonts w:ascii="Arial" w:hAnsi="Arial"/>
                <w:b/>
                <w:i w:val="0"/>
                <w:sz w:val="16"/>
              </w:rPr>
              <w:t>Representative material(s)</w:t>
            </w:r>
          </w:p>
        </w:tc>
      </w:tr>
      <w:tr>
        <w:tc>
          <w:tcPr>
            <w:tcW w:type="dxa" w:w="2366"/>
            <w:tcBorders>
              <w:top w:val="nil"/>
              <w:bottom w:val="nil"/>
            </w:tcBorders>
          </w:tcPr>
          <w:p>
            <w:pPr>
              <w:spacing w:after="10" w:before="10" w:line="240" w:lineRule="auto"/>
            </w:pPr>
            <w:r>
              <w:rPr>
                <w:rFonts w:ascii="Arial" w:hAnsi="Arial"/>
                <w:b w:val="0"/>
                <w:i w:val="0"/>
                <w:sz w:val="16"/>
              </w:rPr>
              <w:t>Food packaging</w:t>
            </w:r>
          </w:p>
        </w:tc>
        <w:tc>
          <w:tcPr>
            <w:tcW w:type="dxa" w:w="3802"/>
            <w:tcBorders>
              <w:top w:val="nil"/>
              <w:bottom w:val="nil"/>
            </w:tcBorders>
          </w:tcPr>
          <w:p>
            <w:pPr>
              <w:spacing w:after="10" w:before="10" w:line="240" w:lineRule="auto"/>
            </w:pPr>
            <w:r>
              <w:rPr>
                <w:rFonts w:ascii="Arial" w:hAnsi="Arial"/>
                <w:b w:val="0"/>
                <w:i w:val="0"/>
                <w:sz w:val="16"/>
              </w:rPr>
              <w:t>O₂/H₂O barrier + toughness + moderate heat resistance</w:t>
            </w:r>
          </w:p>
        </w:tc>
        <w:tc>
          <w:tcPr>
            <w:tcW w:type="dxa" w:w="2760"/>
            <w:tcBorders>
              <w:top w:val="nil"/>
              <w:bottom w:val="nil"/>
            </w:tcBorders>
          </w:tcPr>
          <w:p>
            <w:pPr>
              <w:spacing w:after="10" w:before="10" w:line="240" w:lineRule="auto"/>
            </w:pPr>
            <w:r>
              <w:rPr>
                <w:rFonts w:ascii="Arial" w:hAnsi="Arial"/>
                <w:b w:val="0"/>
                <w:i w:val="0"/>
                <w:sz w:val="16"/>
              </w:rPr>
              <w:t>PLA/PBAT blends; PHA/PLA coatings</w:t>
            </w:r>
          </w:p>
        </w:tc>
      </w:tr>
      <w:tr>
        <w:tc>
          <w:tcPr>
            <w:tcW w:type="dxa" w:w="2366"/>
            <w:tcBorders>
              <w:top w:val="nil"/>
              <w:bottom w:val="nil"/>
            </w:tcBorders>
          </w:tcPr>
          <w:p>
            <w:pPr>
              <w:spacing w:after="10" w:before="10" w:line="240" w:lineRule="auto"/>
            </w:pPr>
            <w:r>
              <w:rPr>
                <w:rFonts w:ascii="Arial" w:hAnsi="Arial"/>
                <w:b w:val="0"/>
                <w:i w:val="0"/>
                <w:sz w:val="16"/>
              </w:rPr>
              <w:t>Compostable foodware / mulch film</w:t>
            </w:r>
          </w:p>
        </w:tc>
        <w:tc>
          <w:tcPr>
            <w:tcW w:type="dxa" w:w="3802"/>
            <w:tcBorders>
              <w:top w:val="nil"/>
              <w:bottom w:val="nil"/>
            </w:tcBorders>
          </w:tcPr>
          <w:p>
            <w:pPr>
              <w:spacing w:after="10" w:before="10" w:line="240" w:lineRule="auto"/>
            </w:pPr>
            <w:r>
              <w:rPr>
                <w:rFonts w:ascii="Arial" w:hAnsi="Arial"/>
                <w:b w:val="0"/>
                <w:i w:val="0"/>
                <w:sz w:val="16"/>
              </w:rPr>
              <w:t>Biodegradability matched to use timescale, not barrier</w:t>
            </w:r>
          </w:p>
        </w:tc>
        <w:tc>
          <w:tcPr>
            <w:tcW w:type="dxa" w:w="2760"/>
            <w:tcBorders>
              <w:top w:val="nil"/>
              <w:bottom w:val="nil"/>
            </w:tcBorders>
          </w:tcPr>
          <w:p>
            <w:pPr>
              <w:spacing w:after="10" w:before="10" w:line="240" w:lineRule="auto"/>
            </w:pPr>
            <w:r>
              <w:rPr>
                <w:rFonts w:ascii="Arial" w:hAnsi="Arial"/>
                <w:b w:val="0"/>
                <w:i w:val="0"/>
                <w:sz w:val="16"/>
              </w:rPr>
              <w:t>PLA, starch blends, PBAT/PLA</w:t>
            </w:r>
          </w:p>
        </w:tc>
      </w:tr>
      <w:tr>
        <w:tc>
          <w:tcPr>
            <w:tcW w:type="dxa" w:w="2366"/>
            <w:tcBorders>
              <w:top w:val="nil"/>
              <w:bottom w:val="nil"/>
            </w:tcBorders>
          </w:tcPr>
          <w:p>
            <w:pPr>
              <w:spacing w:after="10" w:before="10" w:line="240" w:lineRule="auto"/>
            </w:pPr>
            <w:r>
              <w:rPr>
                <w:rFonts w:ascii="Arial" w:hAnsi="Arial"/>
                <w:b w:val="0"/>
                <w:i w:val="0"/>
                <w:sz w:val="16"/>
              </w:rPr>
              <w:t>Sutures / drug release / scaffolds</w:t>
            </w:r>
          </w:p>
        </w:tc>
        <w:tc>
          <w:tcPr>
            <w:tcW w:type="dxa" w:w="3802"/>
            <w:tcBorders>
              <w:top w:val="nil"/>
              <w:bottom w:val="nil"/>
            </w:tcBorders>
          </w:tcPr>
          <w:p>
            <w:pPr>
              <w:spacing w:after="10" w:before="10" w:line="240" w:lineRule="auto"/>
            </w:pPr>
            <w:r>
              <w:rPr>
                <w:rFonts w:ascii="Arial" w:hAnsi="Arial"/>
                <w:b w:val="0"/>
                <w:i w:val="0"/>
                <w:sz w:val="16"/>
              </w:rPr>
              <w:t>Biocompatibility + tunable degradation rate</w:t>
            </w:r>
          </w:p>
        </w:tc>
        <w:tc>
          <w:tcPr>
            <w:tcW w:type="dxa" w:w="2760"/>
            <w:tcBorders>
              <w:top w:val="nil"/>
              <w:bottom w:val="nil"/>
            </w:tcBorders>
          </w:tcPr>
          <w:p>
            <w:pPr>
              <w:spacing w:after="10" w:before="10" w:line="240" w:lineRule="auto"/>
            </w:pPr>
            <w:r>
              <w:rPr>
                <w:rFonts w:ascii="Arial" w:hAnsi="Arial"/>
                <w:b w:val="0"/>
                <w:i w:val="0"/>
                <w:sz w:val="16"/>
              </w:rPr>
              <w:t>PGA, PLGA, collagen, alginate, chitosan</w:t>
            </w:r>
          </w:p>
        </w:tc>
      </w:tr>
      <w:tr>
        <w:tc>
          <w:tcPr>
            <w:tcW w:type="dxa" w:w="2366"/>
            <w:tcBorders>
              <w:top w:val="nil"/>
              <w:bottom w:val="nil"/>
            </w:tcBorders>
          </w:tcPr>
          <w:p>
            <w:pPr>
              <w:spacing w:after="10" w:before="10" w:line="240" w:lineRule="auto"/>
            </w:pPr>
            <w:r>
              <w:rPr>
                <w:rFonts w:ascii="Arial" w:hAnsi="Arial"/>
                <w:b w:val="0"/>
                <w:i w:val="0"/>
                <w:sz w:val="16"/>
              </w:rPr>
              <w:t>Textile fibre / electronics substrate</w:t>
            </w:r>
          </w:p>
        </w:tc>
        <w:tc>
          <w:tcPr>
            <w:tcW w:type="dxa" w:w="3802"/>
            <w:tcBorders>
              <w:top w:val="nil"/>
              <w:bottom w:val="nil"/>
            </w:tcBorders>
          </w:tcPr>
          <w:p>
            <w:pPr>
              <w:spacing w:after="10" w:before="10" w:line="240" w:lineRule="auto"/>
            </w:pPr>
            <w:r>
              <w:rPr>
                <w:rFonts w:ascii="Arial" w:hAnsi="Arial"/>
                <w:b w:val="0"/>
                <w:i w:val="0"/>
                <w:sz w:val="16"/>
              </w:rPr>
              <w:t>High stiffness/spinnability or film formability</w:t>
            </w:r>
          </w:p>
        </w:tc>
        <w:tc>
          <w:tcPr>
            <w:tcW w:type="dxa" w:w="2760"/>
            <w:tcBorders>
              <w:top w:val="nil"/>
              <w:bottom w:val="nil"/>
            </w:tcBorders>
          </w:tcPr>
          <w:p>
            <w:pPr>
              <w:spacing w:after="10" w:before="10" w:line="240" w:lineRule="auto"/>
            </w:pPr>
            <w:r>
              <w:rPr>
                <w:rFonts w:ascii="Arial" w:hAnsi="Arial"/>
                <w:b w:val="0"/>
                <w:i w:val="0"/>
                <w:sz w:val="16"/>
              </w:rPr>
              <w:t>Lyocell, PLA fibre, PHA</w:t>
            </w:r>
          </w:p>
        </w:tc>
      </w:tr>
      <w:tr>
        <w:tc>
          <w:tcPr>
            <w:tcW w:type="dxa" w:w="2366"/>
            <w:tcBorders>
              <w:top w:val="nil"/>
              <w:bottom w:val="single" w:sz="8" w:space="0" w:color="000000"/>
            </w:tcBorders>
          </w:tcPr>
          <w:p>
            <w:pPr>
              <w:spacing w:after="10" w:before="10" w:line="240" w:lineRule="auto"/>
            </w:pPr>
            <w:r>
              <w:rPr>
                <w:rFonts w:ascii="Arial" w:hAnsi="Arial"/>
                <w:b w:val="0"/>
                <w:i w:val="0"/>
                <w:sz w:val="16"/>
              </w:rPr>
              <w:t>Tyre tread / damping / conveyor belting</w:t>
            </w:r>
          </w:p>
        </w:tc>
        <w:tc>
          <w:tcPr>
            <w:tcW w:type="dxa" w:w="3802"/>
            <w:tcBorders>
              <w:top w:val="nil"/>
              <w:bottom w:val="single" w:sz="8" w:space="0" w:color="000000"/>
            </w:tcBorders>
          </w:tcPr>
          <w:p>
            <w:pPr>
              <w:spacing w:after="10" w:before="10" w:line="240" w:lineRule="auto"/>
            </w:pPr>
            <w:r>
              <w:rPr>
                <w:rFonts w:ascii="Arial" w:hAnsi="Arial"/>
                <w:b w:val="0"/>
                <w:i w:val="0"/>
                <w:sz w:val="16"/>
              </w:rPr>
              <w:t>High tensile/tear strength via SIC, or engineered wear</w:t>
            </w:r>
          </w:p>
        </w:tc>
        <w:tc>
          <w:tcPr>
            <w:tcW w:type="dxa" w:w="2760"/>
            <w:tcBorders>
              <w:top w:val="nil"/>
              <w:bottom w:val="single" w:sz="8" w:space="0" w:color="000000"/>
            </w:tcBorders>
          </w:tcPr>
          <w:p>
            <w:pPr>
              <w:spacing w:after="10" w:before="10" w:line="240" w:lineRule="auto"/>
            </w:pPr>
            <w:r>
              <w:rPr>
                <w:rFonts w:ascii="Arial" w:hAnsi="Arial"/>
                <w:b w:val="0"/>
                <w:i w:val="0"/>
                <w:sz w:val="16"/>
              </w:rPr>
              <w:t>Natural rubber, NR/SBR blends (Section 6.3)</w:t>
            </w:r>
          </w:p>
        </w:tc>
      </w:tr>
    </w:tbl>
    <w:p>
      <w:pPr>
        <w:spacing w:after="0" w:line="240" w:lineRule="auto"/>
      </w:pPr>
    </w:p>
    <w:p>
      <w:pPr>
        <w:pStyle w:val="Heading1"/>
      </w:pPr>
      <w:r>
        <w:t>8. Conclusions</w:t>
      </w:r>
    </w:p>
    <w:p>
      <w:pPr>
        <w:jc w:val="both"/>
      </w:pPr>
      <w:r>
        <w:rPr>
          <w:b w:val="0"/>
          <w:i w:val="0"/>
        </w:rPr>
        <w:t>Sorted by backbone linkage, the five families cover a wide range of behaviour from a short list of causes: cellulose and the proteins are stiff and infusible, starch and the polyesters softer and melt-processable, rubber elastomeric, and lignin has no repeat unit at all. Backbone chemistry, more than biological origin, was the main determinant in each case. Three patterns recur: thermal processing and water sensitivity are common limitations; crystallinity frequently links stiffness, transport and degradation; and molecular-weight data are hard to interpret without the measurement method.</w:t>
      </w:r>
    </w:p>
    <w:p>
      <w:pPr>
        <w:jc w:val="both"/>
      </w:pPr>
      <w:r>
        <w:rPr>
          <w:b w:val="0"/>
          <w:i w:val="0"/>
        </w:rPr>
        <w:t>Against synthetic polymers, the surviving advantages are a renewable feedstock, useful biodegradability, biocompatibility and function beyond mechanics; the costs are price, heat resistance, moisture, ageing and agricultural variability. Packaging stays blended or multilayer, and resorbable sutures and scaffolds remain applications in which biopolymers offer particularly distinctive advantages. Bio-based plastics were only about 2.31 Mt of capacity in 2025, near 0.5% of all plastics [16]; scale alone will not lift the structural limits, and the promising directions are enzymatic depolymerisation [17] and data-driven property prediction [56].</w:t>
      </w:r>
    </w:p>
    <w:p>
      <w:pPr>
        <w:pStyle w:val="Heading1"/>
      </w:pPr>
      <w:r>
        <w:t>References</w:t>
      </w:r>
    </w:p>
    <w:p>
      <w:pPr>
        <w:jc w:val="center"/>
      </w:pPr>
      <w:r>
        <w:rPr>
          <w:i/>
        </w:rPr>
        <w:t>61 entries; every DOI verified against Crossref.</w:t>
      </w:r>
    </w:p>
    <w:p>
      <w:pPr>
        <w:spacing w:line="240" w:lineRule="auto" w:after="80"/>
        <w:jc w:val="both"/>
      </w:pPr>
      <w:r>
        <w:rPr>
          <w:b w:val="0"/>
          <w:i w:val="0"/>
        </w:rPr>
        <w:t xml:space="preserve">1. Vert, M.; Doi, Y.; Hellwich, K.-H.; Hess, M.; Hodge, P.; Kubisa, P.; Rinaudo, M.; Schué, F. Terminology for biorelated polymers and applications (IUPAC Recommendations 2012). </w:t>
      </w:r>
      <w:r>
        <w:rPr>
          <w:i/>
        </w:rPr>
        <w:t>Pure Appl. Chem.</w:t>
      </w:r>
      <w:r>
        <w:rPr>
          <w:b w:val="0"/>
          <w:i w:val="0"/>
        </w:rPr>
        <w:t xml:space="preserve"> </w:t>
      </w:r>
      <w:r>
        <w:rPr>
          <w:b/>
          <w:i w:val="0"/>
        </w:rPr>
        <w:t>2012</w:t>
      </w:r>
      <w:r>
        <w:rPr>
          <w:b w:val="0"/>
          <w:i w:val="0"/>
        </w:rPr>
        <w:t xml:space="preserve">, </w:t>
      </w:r>
      <w:r>
        <w:rPr>
          <w:i/>
        </w:rPr>
        <w:t>84</w:t>
      </w:r>
      <w:r>
        <w:rPr>
          <w:b w:val="0"/>
          <w:i w:val="0"/>
        </w:rPr>
        <w:t>, 377–410. DOI: 10.1351/PAC-REC-10-12-04.</w:t>
      </w:r>
    </w:p>
    <w:p>
      <w:pPr>
        <w:spacing w:line="240" w:lineRule="auto" w:after="80"/>
        <w:jc w:val="both"/>
      </w:pPr>
      <w:r>
        <w:rPr>
          <w:b w:val="0"/>
          <w:i w:val="0"/>
        </w:rPr>
        <w:t xml:space="preserve">2. Rostamabadi, H.; Bist, Y.; Kumar, Y.; Yildirim-Yalcin, M.; Ceyhan, T.; Falsafi, S. R. Cellulose nanofibers, nanocrystals, and bacterial nanocellulose: Fabrication, characterization, and their most recent applications. </w:t>
      </w:r>
      <w:r>
        <w:rPr>
          <w:i/>
        </w:rPr>
        <w:t>Future Postharvest Food</w:t>
      </w:r>
      <w:r>
        <w:rPr>
          <w:b w:val="0"/>
          <w:i w:val="0"/>
        </w:rPr>
        <w:t xml:space="preserve"> </w:t>
      </w:r>
      <w:r>
        <w:rPr>
          <w:b/>
          <w:i w:val="0"/>
        </w:rPr>
        <w:t>2024</w:t>
      </w:r>
      <w:r>
        <w:rPr>
          <w:b w:val="0"/>
          <w:i w:val="0"/>
        </w:rPr>
        <w:t xml:space="preserve">, </w:t>
      </w:r>
      <w:r>
        <w:rPr>
          <w:i/>
        </w:rPr>
        <w:t>1</w:t>
      </w:r>
      <w:r>
        <w:rPr>
          <w:b w:val="0"/>
          <w:i w:val="0"/>
        </w:rPr>
        <w:t>, 5–33. DOI: 10.1002/fpf2.12001.</w:t>
      </w:r>
    </w:p>
    <w:p>
      <w:pPr>
        <w:spacing w:line="240" w:lineRule="auto" w:after="80"/>
        <w:jc w:val="both"/>
      </w:pPr>
      <w:r>
        <w:rPr>
          <w:b w:val="0"/>
          <w:i w:val="0"/>
        </w:rPr>
        <w:t xml:space="preserve">3. Hwang, K. T.; Jung, S. T.; Lee, G. D.; Chinnan, M. S.; Park, Y. S.; Park, H. J. Controlling molecular weight and degree of deacetylation of chitosan by response surface methodology. </w:t>
      </w:r>
      <w:r>
        <w:rPr>
          <w:i/>
        </w:rPr>
        <w:t>J. Agric. Food Chem.</w:t>
      </w:r>
      <w:r>
        <w:rPr>
          <w:b w:val="0"/>
          <w:i w:val="0"/>
        </w:rPr>
        <w:t xml:space="preserve"> </w:t>
      </w:r>
      <w:r>
        <w:rPr>
          <w:b/>
          <w:i w:val="0"/>
        </w:rPr>
        <w:t>2002</w:t>
      </w:r>
      <w:r>
        <w:rPr>
          <w:b w:val="0"/>
          <w:i w:val="0"/>
        </w:rPr>
        <w:t xml:space="preserve">, </w:t>
      </w:r>
      <w:r>
        <w:rPr>
          <w:i/>
        </w:rPr>
        <w:t>50</w:t>
      </w:r>
      <w:r>
        <w:rPr>
          <w:b w:val="0"/>
          <w:i w:val="0"/>
        </w:rPr>
        <w:t>, 1876–1882. DOI: 10.1021/jf011167u.</w:t>
      </w:r>
    </w:p>
    <w:p>
      <w:pPr>
        <w:spacing w:line="240" w:lineRule="auto" w:after="80"/>
        <w:jc w:val="both"/>
      </w:pPr>
      <w:r>
        <w:rPr>
          <w:b w:val="0"/>
          <w:i w:val="0"/>
        </w:rPr>
        <w:t xml:space="preserve">4. Cao, L.; Lu, W.; Mata, A.; Nishinari, K.; Fang, Y. Egg-box model-based gelation of alginate and pectin: A review. </w:t>
      </w:r>
      <w:r>
        <w:rPr>
          <w:i/>
        </w:rPr>
        <w:t>Carbohydr. Polym.</w:t>
      </w:r>
      <w:r>
        <w:rPr>
          <w:b w:val="0"/>
          <w:i w:val="0"/>
        </w:rPr>
        <w:t xml:space="preserve"> </w:t>
      </w:r>
      <w:r>
        <w:rPr>
          <w:b/>
          <w:i w:val="0"/>
        </w:rPr>
        <w:t>2020</w:t>
      </w:r>
      <w:r>
        <w:rPr>
          <w:b w:val="0"/>
          <w:i w:val="0"/>
        </w:rPr>
        <w:t xml:space="preserve">, </w:t>
      </w:r>
      <w:r>
        <w:rPr>
          <w:i/>
        </w:rPr>
        <w:t>242</w:t>
      </w:r>
      <w:r>
        <w:rPr>
          <w:b w:val="0"/>
          <w:i w:val="0"/>
        </w:rPr>
        <w:t>, 116389. DOI: 10.1016/j.carbpol.2020.116389.</w:t>
      </w:r>
    </w:p>
    <w:p>
      <w:pPr>
        <w:spacing w:line="240" w:lineRule="auto" w:after="80"/>
        <w:jc w:val="both"/>
      </w:pPr>
      <w:r>
        <w:rPr>
          <w:b w:val="0"/>
          <w:i w:val="0"/>
        </w:rPr>
        <w:t xml:space="preserve">5. Ariffin, H.; Nishida, H.; Shirai, Y.; Hassan, M. A. Determination of multiple thermal degradation mechanisms of poly(3-hydroxybutyrate). </w:t>
      </w:r>
      <w:r>
        <w:rPr>
          <w:i/>
        </w:rPr>
        <w:t>Polym. Degrad. Stab.</w:t>
      </w:r>
      <w:r>
        <w:rPr>
          <w:b w:val="0"/>
          <w:i w:val="0"/>
        </w:rPr>
        <w:t xml:space="preserve"> </w:t>
      </w:r>
      <w:r>
        <w:rPr>
          <w:b/>
          <w:i w:val="0"/>
        </w:rPr>
        <w:t>2008</w:t>
      </w:r>
      <w:r>
        <w:rPr>
          <w:b w:val="0"/>
          <w:i w:val="0"/>
        </w:rPr>
        <w:t xml:space="preserve">, </w:t>
      </w:r>
      <w:r>
        <w:rPr>
          <w:i/>
        </w:rPr>
        <w:t>93</w:t>
      </w:r>
      <w:r>
        <w:rPr>
          <w:b w:val="0"/>
          <w:i w:val="0"/>
        </w:rPr>
        <w:t>, 1433–1439. DOI: 10.1016/j.polymdegradstab.2008.05.020.</w:t>
      </w:r>
    </w:p>
    <w:p>
      <w:pPr>
        <w:spacing w:line="240" w:lineRule="auto" w:after="80"/>
        <w:jc w:val="both"/>
      </w:pPr>
      <w:r>
        <w:rPr>
          <w:b w:val="0"/>
          <w:i w:val="0"/>
        </w:rPr>
        <w:t xml:space="preserve">6. Tsuji, H. Poly(lactide) stereocomplexes: formation, structure, properties, degradation, and applications. </w:t>
      </w:r>
      <w:r>
        <w:rPr>
          <w:i/>
        </w:rPr>
        <w:t>Macromol. Biosci.</w:t>
      </w:r>
      <w:r>
        <w:rPr>
          <w:b w:val="0"/>
          <w:i w:val="0"/>
        </w:rPr>
        <w:t xml:space="preserve"> </w:t>
      </w:r>
      <w:r>
        <w:rPr>
          <w:b/>
          <w:i w:val="0"/>
        </w:rPr>
        <w:t>2005</w:t>
      </w:r>
      <w:r>
        <w:rPr>
          <w:b w:val="0"/>
          <w:i w:val="0"/>
        </w:rPr>
        <w:t xml:space="preserve">, </w:t>
      </w:r>
      <w:r>
        <w:rPr>
          <w:i/>
        </w:rPr>
        <w:t>5</w:t>
      </w:r>
      <w:r>
        <w:rPr>
          <w:b w:val="0"/>
          <w:i w:val="0"/>
        </w:rPr>
        <w:t>, 569–597. DOI: 10.1002/mabi.200500062.</w:t>
      </w:r>
    </w:p>
    <w:p>
      <w:pPr>
        <w:spacing w:line="240" w:lineRule="auto" w:after="80"/>
        <w:jc w:val="both"/>
      </w:pPr>
      <w:r>
        <w:rPr>
          <w:b w:val="0"/>
          <w:i w:val="0"/>
        </w:rPr>
        <w:t xml:space="preserve">7. Luo, F.; Fortenberry, A.; Ren, J.; Qiang, Z. Recent progress in enhancing poly(lactic acid) stereocomplex formation for material property improvement. </w:t>
      </w:r>
      <w:r>
        <w:rPr>
          <w:i/>
        </w:rPr>
        <w:t>Front. Chem.</w:t>
      </w:r>
      <w:r>
        <w:rPr>
          <w:b w:val="0"/>
          <w:i w:val="0"/>
        </w:rPr>
        <w:t xml:space="preserve"> </w:t>
      </w:r>
      <w:r>
        <w:rPr>
          <w:b/>
          <w:i w:val="0"/>
        </w:rPr>
        <w:t>2020</w:t>
      </w:r>
      <w:r>
        <w:rPr>
          <w:b w:val="0"/>
          <w:i w:val="0"/>
        </w:rPr>
        <w:t xml:space="preserve">, </w:t>
      </w:r>
      <w:r>
        <w:rPr>
          <w:i/>
        </w:rPr>
        <w:t>8</w:t>
      </w:r>
      <w:r>
        <w:rPr>
          <w:b w:val="0"/>
          <w:i w:val="0"/>
        </w:rPr>
        <w:t>, 688. DOI: 10.3389/fchem.2020.00688.</w:t>
      </w:r>
    </w:p>
    <w:p>
      <w:pPr>
        <w:spacing w:line="240" w:lineRule="auto" w:after="80"/>
        <w:jc w:val="both"/>
      </w:pPr>
      <w:r>
        <w:rPr>
          <w:b w:val="0"/>
          <w:i w:val="0"/>
        </w:rPr>
        <w:t xml:space="preserve">8. Keten, S.; Xu, Z.; Ihle, B.; Buehler, M. J. Nanoconfinement controls stiffness, strength and mechanical toughness of β-sheet crystals in silk. </w:t>
      </w:r>
      <w:r>
        <w:rPr>
          <w:i/>
        </w:rPr>
        <w:t>Nat. Mater.</w:t>
      </w:r>
      <w:r>
        <w:rPr>
          <w:b w:val="0"/>
          <w:i w:val="0"/>
        </w:rPr>
        <w:t xml:space="preserve"> </w:t>
      </w:r>
      <w:r>
        <w:rPr>
          <w:b/>
          <w:i w:val="0"/>
        </w:rPr>
        <w:t>2010</w:t>
      </w:r>
      <w:r>
        <w:rPr>
          <w:b w:val="0"/>
          <w:i w:val="0"/>
        </w:rPr>
        <w:t xml:space="preserve">, </w:t>
      </w:r>
      <w:r>
        <w:rPr>
          <w:i/>
        </w:rPr>
        <w:t>9</w:t>
      </w:r>
      <w:r>
        <w:rPr>
          <w:b w:val="0"/>
          <w:i w:val="0"/>
        </w:rPr>
        <w:t>, 359–367. DOI: 10.1038/nmat2704.</w:t>
      </w:r>
    </w:p>
    <w:p>
      <w:pPr>
        <w:spacing w:line="240" w:lineRule="auto" w:after="80"/>
        <w:jc w:val="both"/>
      </w:pPr>
      <w:r>
        <w:rPr>
          <w:b w:val="0"/>
          <w:i w:val="0"/>
        </w:rPr>
        <w:t xml:space="preserve">9. Odili, C. C.; Ajibola, A. M.; Sojobi, J. W.; Ogunbiyi, O. O.; Ogunsanya, A. O.; Okoubulu, A. B.; Igbinigie, G. O.-A.; Daramola, D. O.-G.; Kayode, O. E.; Oyegunle, T. S.; Ayegba, T. A.; Salami, O. T.; Akinyemi, O. O.; Oyedepo, S. O. Chemistry of lignin. In </w:t>
      </w:r>
      <w:r>
        <w:rPr>
          <w:i/>
        </w:rPr>
        <w:t>Lignin Renewable Materials — Chemistry, Trends, Technology and Application</w:t>
      </w:r>
      <w:r>
        <w:rPr>
          <w:b w:val="0"/>
          <w:i w:val="0"/>
        </w:rPr>
        <w:t>; Ngo, T.-D., Ahvazi, B., Eds.; IntechOpen, 2025. DOI: 10.5772/intechopen.1013010.</w:t>
      </w:r>
    </w:p>
    <w:p>
      <w:pPr>
        <w:spacing w:line="240" w:lineRule="auto" w:after="80"/>
        <w:jc w:val="both"/>
      </w:pPr>
      <w:r>
        <w:rPr>
          <w:b w:val="0"/>
          <w:i w:val="0"/>
        </w:rPr>
        <w:t xml:space="preserve">10. Huneau, B. Strain-induced crystallization of natural rubber: a review of X-ray diffraction investigations. </w:t>
      </w:r>
      <w:r>
        <w:rPr>
          <w:i/>
        </w:rPr>
        <w:t>Rubber Chem. Technol.</w:t>
      </w:r>
      <w:r>
        <w:rPr>
          <w:b w:val="0"/>
          <w:i w:val="0"/>
        </w:rPr>
        <w:t xml:space="preserve"> </w:t>
      </w:r>
      <w:r>
        <w:rPr>
          <w:b/>
          <w:i w:val="0"/>
        </w:rPr>
        <w:t>2011</w:t>
      </w:r>
      <w:r>
        <w:rPr>
          <w:b w:val="0"/>
          <w:i w:val="0"/>
        </w:rPr>
        <w:t xml:space="preserve">, </w:t>
      </w:r>
      <w:r>
        <w:rPr>
          <w:i/>
        </w:rPr>
        <w:t>84</w:t>
      </w:r>
      <w:r>
        <w:rPr>
          <w:b w:val="0"/>
          <w:i w:val="0"/>
        </w:rPr>
        <w:t>, 425–452. DOI: 10.5254/1.3601131.</w:t>
      </w:r>
    </w:p>
    <w:p>
      <w:pPr>
        <w:spacing w:line="240" w:lineRule="auto" w:after="80"/>
        <w:jc w:val="both"/>
      </w:pPr>
      <w:r>
        <w:rPr>
          <w:b w:val="0"/>
          <w:i w:val="0"/>
        </w:rPr>
        <w:t xml:space="preserve">11. de Beukelaer, H.; Hilhorst, M.; Workala, Y.; Maaskant, E.; Post, W. Overview of the mechanical, thermal and barrier properties of biobased and/or biodegradable thermoplastic materials. </w:t>
      </w:r>
      <w:r>
        <w:rPr>
          <w:i/>
        </w:rPr>
        <w:t>Polym. Test.</w:t>
      </w:r>
      <w:r>
        <w:rPr>
          <w:b w:val="0"/>
          <w:i w:val="0"/>
        </w:rPr>
        <w:t xml:space="preserve"> </w:t>
      </w:r>
      <w:r>
        <w:rPr>
          <w:b/>
          <w:i w:val="0"/>
        </w:rPr>
        <w:t>2022</w:t>
      </w:r>
      <w:r>
        <w:rPr>
          <w:b w:val="0"/>
          <w:i w:val="0"/>
        </w:rPr>
        <w:t xml:space="preserve">, </w:t>
      </w:r>
      <w:r>
        <w:rPr>
          <w:i/>
        </w:rPr>
        <w:t>116</w:t>
      </w:r>
      <w:r>
        <w:rPr>
          <w:b w:val="0"/>
          <w:i w:val="0"/>
        </w:rPr>
        <w:t>, 107803. DOI: 10.1016/j.polymertesting.2022.107803.</w:t>
      </w:r>
    </w:p>
    <w:p>
      <w:pPr>
        <w:spacing w:line="240" w:lineRule="auto" w:after="80"/>
        <w:jc w:val="both"/>
      </w:pPr>
      <w:r>
        <w:rPr>
          <w:b w:val="0"/>
          <w:i w:val="0"/>
        </w:rPr>
        <w:t xml:space="preserve">12. Aliotta, L.; Seggiani, M.; Lazzeri, A.; Gigante, V.; Cinelli, P. A brief review of poly(butylene succinate) (PBS) and its main copolymers: synthesis, blends, composites, biodegradability, and applications. </w:t>
      </w:r>
      <w:r>
        <w:rPr>
          <w:i/>
        </w:rPr>
        <w:t>Polymers</w:t>
      </w:r>
      <w:r>
        <w:rPr>
          <w:b w:val="0"/>
          <w:i w:val="0"/>
        </w:rPr>
        <w:t xml:space="preserve"> </w:t>
      </w:r>
      <w:r>
        <w:rPr>
          <w:b/>
          <w:i w:val="0"/>
        </w:rPr>
        <w:t>2022</w:t>
      </w:r>
      <w:r>
        <w:rPr>
          <w:b w:val="0"/>
          <w:i w:val="0"/>
        </w:rPr>
        <w:t xml:space="preserve">, </w:t>
      </w:r>
      <w:r>
        <w:rPr>
          <w:i/>
        </w:rPr>
        <w:t>14</w:t>
      </w:r>
      <w:r>
        <w:rPr>
          <w:b w:val="0"/>
          <w:i w:val="0"/>
        </w:rPr>
        <w:t>, 844. DOI: 10.3390/polym14040844.</w:t>
      </w:r>
    </w:p>
    <w:p>
      <w:pPr>
        <w:spacing w:line="240" w:lineRule="auto" w:after="80"/>
        <w:jc w:val="both"/>
      </w:pPr>
      <w:r>
        <w:rPr>
          <w:b w:val="0"/>
          <w:i w:val="0"/>
        </w:rPr>
        <w:t xml:space="preserve">13. Zhao, X.; Liu, J.; Li, J.; Liang, X.; Zhou, W.; Peng, S. Strategies and techniques for improving heat resistance and mechanical performances of poly(lactic acid) (PLA) biodegradable materials. </w:t>
      </w:r>
      <w:r>
        <w:rPr>
          <w:i/>
        </w:rPr>
        <w:t>Int. J. Biol. Macromol.</w:t>
      </w:r>
      <w:r>
        <w:rPr>
          <w:b w:val="0"/>
          <w:i w:val="0"/>
        </w:rPr>
        <w:t xml:space="preserve"> </w:t>
      </w:r>
      <w:r>
        <w:rPr>
          <w:b/>
          <w:i w:val="0"/>
        </w:rPr>
        <w:t>2022</w:t>
      </w:r>
      <w:r>
        <w:rPr>
          <w:b w:val="0"/>
          <w:i w:val="0"/>
        </w:rPr>
        <w:t xml:space="preserve">, </w:t>
      </w:r>
      <w:r>
        <w:rPr>
          <w:i/>
        </w:rPr>
        <w:t>218</w:t>
      </w:r>
      <w:r>
        <w:rPr>
          <w:b w:val="0"/>
          <w:i w:val="0"/>
        </w:rPr>
        <w:t>, 115–134. DOI: 10.1016/j.ijbiomac.2022.07.091.</w:t>
      </w:r>
    </w:p>
    <w:p>
      <w:pPr>
        <w:spacing w:line="240" w:lineRule="auto" w:after="80"/>
        <w:jc w:val="both"/>
      </w:pPr>
      <w:r>
        <w:rPr>
          <w:b w:val="0"/>
          <w:i w:val="0"/>
        </w:rPr>
        <w:t xml:space="preserve">14. McCurdy, C.; Dixion, D.; Archer, E.; Dooher, T.; Edwards, I. A comparison of the sealing, forming and moisture vapour transmission properties of polylactic acid (PLA), polyethene (PE) and polyethylene terephthalate (PET) coated boards for packaging applications. </w:t>
      </w:r>
      <w:r>
        <w:rPr>
          <w:i/>
        </w:rPr>
        <w:t>J. Packag. Technol. Res.</w:t>
      </w:r>
      <w:r>
        <w:rPr>
          <w:b w:val="0"/>
          <w:i w:val="0"/>
        </w:rPr>
        <w:t xml:space="preserve"> </w:t>
      </w:r>
      <w:r>
        <w:rPr>
          <w:b/>
          <w:i w:val="0"/>
        </w:rPr>
        <w:t>2022</w:t>
      </w:r>
      <w:r>
        <w:rPr>
          <w:b w:val="0"/>
          <w:i w:val="0"/>
        </w:rPr>
        <w:t xml:space="preserve">, </w:t>
      </w:r>
      <w:r>
        <w:rPr>
          <w:i/>
        </w:rPr>
        <w:t>6</w:t>
      </w:r>
      <w:r>
        <w:rPr>
          <w:b w:val="0"/>
          <w:i w:val="0"/>
        </w:rPr>
        <w:t>, 91–100. DOI: 10.1007/s41783-022-00131-w.</w:t>
      </w:r>
    </w:p>
    <w:p>
      <w:pPr>
        <w:spacing w:line="240" w:lineRule="auto" w:after="80"/>
        <w:jc w:val="both"/>
      </w:pPr>
      <w:r>
        <w:rPr>
          <w:b w:val="0"/>
          <w:i w:val="0"/>
        </w:rPr>
        <w:t xml:space="preserve">15. Thoden van Velzen, E. U.; Chu, S.; Molenveld, K.; Jašo, V. Effect of poly lactic acid trays on the optical and thermal properties of recycled poly(ethylene terephthalate). </w:t>
      </w:r>
      <w:r>
        <w:rPr>
          <w:i/>
        </w:rPr>
        <w:t>Packag. Technol. Sci.</w:t>
      </w:r>
      <w:r>
        <w:rPr>
          <w:b w:val="0"/>
          <w:i w:val="0"/>
        </w:rPr>
        <w:t xml:space="preserve"> </w:t>
      </w:r>
      <w:r>
        <w:rPr>
          <w:b/>
          <w:i w:val="0"/>
        </w:rPr>
        <w:t>2022</w:t>
      </w:r>
      <w:r>
        <w:rPr>
          <w:b w:val="0"/>
          <w:i w:val="0"/>
        </w:rPr>
        <w:t xml:space="preserve">, </w:t>
      </w:r>
      <w:r>
        <w:rPr>
          <w:i/>
        </w:rPr>
        <w:t>35</w:t>
      </w:r>
      <w:r>
        <w:rPr>
          <w:b w:val="0"/>
          <w:i w:val="0"/>
        </w:rPr>
        <w:t>, 351–360. DOI: 10.1002/pts.2633.</w:t>
      </w:r>
    </w:p>
    <w:p>
      <w:pPr>
        <w:spacing w:line="240" w:lineRule="auto" w:after="80"/>
        <w:jc w:val="both"/>
      </w:pPr>
      <w:r>
        <w:rPr>
          <w:b w:val="0"/>
          <w:i w:val="0"/>
        </w:rPr>
        <w:t xml:space="preserve">16. European Bioplastics; nova-Institute. </w:t>
      </w:r>
      <w:r>
        <w:rPr>
          <w:i/>
        </w:rPr>
        <w:t>Bioplastics Market Development Update 2025</w:t>
      </w:r>
      <w:r>
        <w:rPr>
          <w:b w:val="0"/>
          <w:i w:val="0"/>
        </w:rPr>
        <w:t>; European Bioplastics e.V.: Berlin, December 2025. Available at: docs.european-bioplastics.org/publications/market_data/2025/EUBP_Market_Data_Report_2025.pdf</w:t>
      </w:r>
    </w:p>
    <w:p>
      <w:pPr>
        <w:spacing w:line="240" w:lineRule="auto" w:after="80"/>
        <w:jc w:val="both"/>
      </w:pPr>
      <w:r>
        <w:rPr>
          <w:b w:val="0"/>
          <w:i w:val="0"/>
        </w:rPr>
        <w:t xml:space="preserve">17. Salini, A.; Gonnelli, P. M.; Padoan, C.; Helali, Y.; Waeytens, J.; Fusco, S.; Cannella, D. Repurposing commercial hydrolytic and oxidative enzymes toward synergistic PLA depolymerization. </w:t>
      </w:r>
      <w:r>
        <w:rPr>
          <w:i/>
        </w:rPr>
        <w:t>ACS Sustain. Chem. Eng.</w:t>
      </w:r>
      <w:r>
        <w:rPr>
          <w:b w:val="0"/>
          <w:i w:val="0"/>
        </w:rPr>
        <w:t xml:space="preserve"> </w:t>
      </w:r>
      <w:r>
        <w:rPr>
          <w:b/>
          <w:i w:val="0"/>
        </w:rPr>
        <w:t>2025</w:t>
      </w:r>
      <w:r>
        <w:rPr>
          <w:b w:val="0"/>
          <w:i w:val="0"/>
        </w:rPr>
        <w:t xml:space="preserve">, </w:t>
      </w:r>
      <w:r>
        <w:rPr>
          <w:i/>
        </w:rPr>
        <w:t>13</w:t>
      </w:r>
      <w:r>
        <w:rPr>
          <w:b w:val="0"/>
          <w:i w:val="0"/>
        </w:rPr>
        <w:t>, 20705–20716. DOI: 10.1021/acssuschemeng.5c06901.</w:t>
      </w:r>
    </w:p>
    <w:p>
      <w:pPr>
        <w:spacing w:line="240" w:lineRule="auto" w:after="80"/>
        <w:jc w:val="both"/>
      </w:pPr>
      <w:r>
        <w:rPr>
          <w:b w:val="0"/>
          <w:i w:val="0"/>
        </w:rPr>
        <w:t xml:space="preserve">18. Huang, S.-Q.; Zhang, J.-Q.; Zhu, Y.; Kong, L.-M.; Liao, L.-S.; Zhang, F.-Q.; Xie, Z.-T.; Wu, J.-R. Revealing the structure-property difference of natural rubber prepared by different methods: protein and gel content are key factors. </w:t>
      </w:r>
      <w:r>
        <w:rPr>
          <w:i/>
        </w:rPr>
        <w:t>Chin. J. Polym. Sci.</w:t>
      </w:r>
      <w:r>
        <w:rPr>
          <w:b w:val="0"/>
          <w:i w:val="0"/>
        </w:rPr>
        <w:t xml:space="preserve"> </w:t>
      </w:r>
      <w:r>
        <w:rPr>
          <w:b/>
          <w:i w:val="0"/>
        </w:rPr>
        <w:t>2024</w:t>
      </w:r>
      <w:r>
        <w:rPr>
          <w:b w:val="0"/>
          <w:i w:val="0"/>
        </w:rPr>
        <w:t xml:space="preserve">, </w:t>
      </w:r>
      <w:r>
        <w:rPr>
          <w:i/>
        </w:rPr>
        <w:t>42</w:t>
      </w:r>
      <w:r>
        <w:rPr>
          <w:b w:val="0"/>
          <w:i w:val="0"/>
        </w:rPr>
        <w:t>, 457–467. DOI: 10.1007/s10118-024-3071-2.</w:t>
      </w:r>
    </w:p>
    <w:p>
      <w:pPr>
        <w:spacing w:line="240" w:lineRule="auto" w:after="80"/>
        <w:jc w:val="both"/>
      </w:pPr>
      <w:r>
        <w:rPr>
          <w:b w:val="0"/>
          <w:i w:val="0"/>
        </w:rPr>
        <w:t xml:space="preserve">19. Xin, S.; Hua, Y.; Li, J.; Dai, X.; Yang, X.; Udayabhanu, J.; Huang, H.; Huang, T. Comparative analysis of latex transcriptomes reveals the potential mechanisms underlying rubber molecular weight variations between </w:t>
      </w:r>
      <w:r>
        <w:rPr>
          <w:i/>
        </w:rPr>
        <w:t>Hevea brasiliensis</w:t>
      </w:r>
      <w:r>
        <w:rPr>
          <w:b w:val="0"/>
          <w:i w:val="0"/>
        </w:rPr>
        <w:t xml:space="preserve"> clones RRIM600 and Reyan7-33-97. </w:t>
      </w:r>
      <w:r>
        <w:rPr>
          <w:i/>
        </w:rPr>
        <w:t>BMC Plant Biol.</w:t>
      </w:r>
      <w:r>
        <w:rPr>
          <w:b w:val="0"/>
          <w:i w:val="0"/>
        </w:rPr>
        <w:t xml:space="preserve"> </w:t>
      </w:r>
      <w:r>
        <w:rPr>
          <w:b/>
          <w:i w:val="0"/>
        </w:rPr>
        <w:t>2021</w:t>
      </w:r>
      <w:r>
        <w:rPr>
          <w:b w:val="0"/>
          <w:i w:val="0"/>
        </w:rPr>
        <w:t xml:space="preserve">, </w:t>
      </w:r>
      <w:r>
        <w:rPr>
          <w:i/>
        </w:rPr>
        <w:t>21</w:t>
      </w:r>
      <w:r>
        <w:rPr>
          <w:b w:val="0"/>
          <w:i w:val="0"/>
        </w:rPr>
        <w:t>, 244. DOI: 10.1186/s12870-021-03022-5.</w:t>
      </w:r>
    </w:p>
    <w:p>
      <w:pPr>
        <w:spacing w:line="240" w:lineRule="auto" w:after="80"/>
        <w:jc w:val="both"/>
      </w:pPr>
      <w:r>
        <w:rPr>
          <w:b w:val="0"/>
          <w:i w:val="0"/>
        </w:rPr>
        <w:t xml:space="preserve">20. Dhanorkar, R. J.; Mohanty, S.; Gupta, V. K. Synthesis of functionalized styrene butadiene rubber and its applications in S-SBR–silica composites for high-performance tire applications. </w:t>
      </w:r>
      <w:r>
        <w:rPr>
          <w:i/>
        </w:rPr>
        <w:t>Ind. Eng. Chem. Res.</w:t>
      </w:r>
      <w:r>
        <w:rPr>
          <w:b w:val="0"/>
          <w:i w:val="0"/>
        </w:rPr>
        <w:t xml:space="preserve"> </w:t>
      </w:r>
      <w:r>
        <w:rPr>
          <w:b/>
          <w:i w:val="0"/>
        </w:rPr>
        <w:t>2021</w:t>
      </w:r>
      <w:r>
        <w:rPr>
          <w:b w:val="0"/>
          <w:i w:val="0"/>
        </w:rPr>
        <w:t xml:space="preserve">, </w:t>
      </w:r>
      <w:r>
        <w:rPr>
          <w:i/>
        </w:rPr>
        <w:t>60</w:t>
      </w:r>
      <w:r>
        <w:rPr>
          <w:b w:val="0"/>
          <w:i w:val="0"/>
        </w:rPr>
        <w:t>, 4517–4535. DOI: 10.1021/acs.iecr.1c00013.</w:t>
      </w:r>
    </w:p>
    <w:p>
      <w:pPr>
        <w:spacing w:line="240" w:lineRule="auto" w:after="80"/>
        <w:jc w:val="both"/>
      </w:pPr>
      <w:r>
        <w:rPr>
          <w:b w:val="0"/>
          <w:i w:val="0"/>
        </w:rPr>
        <w:t xml:space="preserve">21. Zubov, A.; Pokorny, J.; Kosek, J. Styrene–butadiene rubber (SBR) production by emulsion polymerization: dynamic modeling and intensification of the process. </w:t>
      </w:r>
      <w:r>
        <w:rPr>
          <w:i/>
        </w:rPr>
        <w:t>Chem. Eng. J.</w:t>
      </w:r>
      <w:r>
        <w:rPr>
          <w:b w:val="0"/>
          <w:i w:val="0"/>
        </w:rPr>
        <w:t xml:space="preserve"> </w:t>
      </w:r>
      <w:r>
        <w:rPr>
          <w:b/>
          <w:i w:val="0"/>
        </w:rPr>
        <w:t>2012</w:t>
      </w:r>
      <w:r>
        <w:rPr>
          <w:b w:val="0"/>
          <w:i w:val="0"/>
        </w:rPr>
        <w:t xml:space="preserve">, </w:t>
      </w:r>
      <w:r>
        <w:rPr>
          <w:i/>
        </w:rPr>
        <w:t>207–208</w:t>
      </w:r>
      <w:r>
        <w:rPr>
          <w:b w:val="0"/>
          <w:i w:val="0"/>
        </w:rPr>
        <w:t>, 414–420. DOI: 10.1016/j.cej.2012.06.144.</w:t>
      </w:r>
    </w:p>
    <w:p>
      <w:pPr>
        <w:spacing w:line="240" w:lineRule="auto" w:after="80"/>
        <w:jc w:val="both"/>
      </w:pPr>
      <w:r>
        <w:rPr>
          <w:b w:val="0"/>
          <w:i w:val="0"/>
        </w:rPr>
        <w:t xml:space="preserve">22. Singer, R.; Ollick, A. M.; Elhadary, M.; El-Sherbiny, I. M.; Gomma, A. Comparative study of natural rubber and styrene-butadiene rubber blends reinforced with different carbon black grades for tire tread production. </w:t>
      </w:r>
      <w:r>
        <w:rPr>
          <w:i/>
        </w:rPr>
        <w:t>Sci. Rep.</w:t>
      </w:r>
      <w:r>
        <w:rPr>
          <w:b w:val="0"/>
          <w:i w:val="0"/>
        </w:rPr>
        <w:t xml:space="preserve"> </w:t>
      </w:r>
      <w:r>
        <w:rPr>
          <w:b/>
          <w:i w:val="0"/>
        </w:rPr>
        <w:t>2026</w:t>
      </w:r>
      <w:r>
        <w:rPr>
          <w:b w:val="0"/>
          <w:i w:val="0"/>
        </w:rPr>
        <w:t xml:space="preserve">, </w:t>
      </w:r>
      <w:r>
        <w:rPr>
          <w:i/>
        </w:rPr>
        <w:t>16</w:t>
      </w:r>
      <w:r>
        <w:rPr>
          <w:b w:val="0"/>
          <w:i w:val="0"/>
        </w:rPr>
        <w:t>, 24902. DOI: 10.1038/s41598-026-65435-2.</w:t>
      </w:r>
    </w:p>
    <w:p>
      <w:pPr>
        <w:spacing w:line="240" w:lineRule="auto" w:after="80"/>
        <w:jc w:val="both"/>
      </w:pPr>
      <w:r>
        <w:rPr>
          <w:b w:val="0"/>
          <w:i w:val="0"/>
        </w:rPr>
        <w:t xml:space="preserve">23. Noguchi, F.; Zhou, Y.; Kosugi, K.; Yamamoto, Y.; Nghia, P. T.; Fukuda, M.; Kawahara, S. Effect of strain-induced crystallization on the tear strength of natural rubber/styrene butadiene rubber blend. </w:t>
      </w:r>
      <w:r>
        <w:rPr>
          <w:i/>
        </w:rPr>
        <w:t>Adv. Polym. Technol.</w:t>
      </w:r>
      <w:r>
        <w:rPr>
          <w:b w:val="0"/>
          <w:i w:val="0"/>
        </w:rPr>
        <w:t xml:space="preserve"> </w:t>
      </w:r>
      <w:r>
        <w:rPr>
          <w:b/>
          <w:i w:val="0"/>
        </w:rPr>
        <w:t>2018</w:t>
      </w:r>
      <w:r>
        <w:rPr>
          <w:b w:val="0"/>
          <w:i w:val="0"/>
        </w:rPr>
        <w:t xml:space="preserve">, </w:t>
      </w:r>
      <w:r>
        <w:rPr>
          <w:i/>
        </w:rPr>
        <w:t>37</w:t>
      </w:r>
      <w:r>
        <w:rPr>
          <w:b w:val="0"/>
          <w:i w:val="0"/>
        </w:rPr>
        <w:t>, 1850–1858. DOI: 10.1002/adv.21843.</w:t>
      </w:r>
    </w:p>
    <w:p>
      <w:pPr>
        <w:spacing w:line="240" w:lineRule="auto" w:after="80"/>
        <w:jc w:val="both"/>
      </w:pPr>
      <w:r>
        <w:rPr>
          <w:b w:val="0"/>
          <w:i w:val="0"/>
        </w:rPr>
        <w:t xml:space="preserve">24. Tangudom, P.; Thongsang, S.; Sombatsompop, N. Cure and mechanical properties and abrasive wear behavior of natural rubber, styrene-butadiene rubber and their blends reinforced with silica hybrid fillers. </w:t>
      </w:r>
      <w:r>
        <w:rPr>
          <w:i/>
        </w:rPr>
        <w:t>Mater. Des.</w:t>
      </w:r>
      <w:r>
        <w:rPr>
          <w:b w:val="0"/>
          <w:i w:val="0"/>
        </w:rPr>
        <w:t xml:space="preserve"> </w:t>
      </w:r>
      <w:r>
        <w:rPr>
          <w:b/>
          <w:i w:val="0"/>
        </w:rPr>
        <w:t>2014</w:t>
      </w:r>
      <w:r>
        <w:rPr>
          <w:b w:val="0"/>
          <w:i w:val="0"/>
        </w:rPr>
        <w:t xml:space="preserve">, </w:t>
      </w:r>
      <w:r>
        <w:rPr>
          <w:i/>
        </w:rPr>
        <w:t>53</w:t>
      </w:r>
      <w:r>
        <w:rPr>
          <w:b w:val="0"/>
          <w:i w:val="0"/>
        </w:rPr>
        <w:t>, 856–864. DOI: 10.1016/j.matdes.2013.07.024.</w:t>
      </w:r>
    </w:p>
    <w:p>
      <w:pPr>
        <w:spacing w:line="240" w:lineRule="auto" w:after="80"/>
        <w:jc w:val="both"/>
      </w:pPr>
      <w:r>
        <w:rPr>
          <w:b w:val="0"/>
          <w:i w:val="0"/>
        </w:rPr>
        <w:t xml:space="preserve">25. Goyanes, S.; Lopez, C. C.; Rubiolo, G. H.; Quasso, F.; Marzocca, A. J. Thermal properties in cured natural rubber/styrene butadiene rubber blends. </w:t>
      </w:r>
      <w:r>
        <w:rPr>
          <w:i/>
        </w:rPr>
        <w:t>Eur. Polym. J.</w:t>
      </w:r>
      <w:r>
        <w:rPr>
          <w:b w:val="0"/>
          <w:i w:val="0"/>
        </w:rPr>
        <w:t xml:space="preserve"> </w:t>
      </w:r>
      <w:r>
        <w:rPr>
          <w:b/>
          <w:i w:val="0"/>
        </w:rPr>
        <w:t>2008</w:t>
      </w:r>
      <w:r>
        <w:rPr>
          <w:b w:val="0"/>
          <w:i w:val="0"/>
        </w:rPr>
        <w:t xml:space="preserve">, </w:t>
      </w:r>
      <w:r>
        <w:rPr>
          <w:i/>
        </w:rPr>
        <w:t>44</w:t>
      </w:r>
      <w:r>
        <w:rPr>
          <w:b w:val="0"/>
          <w:i w:val="0"/>
        </w:rPr>
        <w:t>, 1525–1534. DOI: 10.1016/j.eurpolymj.2008.02.016.</w:t>
      </w:r>
    </w:p>
    <w:p>
      <w:pPr>
        <w:spacing w:line="240" w:lineRule="auto" w:after="80"/>
        <w:jc w:val="both"/>
      </w:pPr>
      <w:r>
        <w:rPr>
          <w:b w:val="0"/>
          <w:i w:val="0"/>
        </w:rPr>
        <w:t xml:space="preserve">26. Tang, S.; Li, Z.; Sun, W.; Liu, Y.; Wang, J.; Wang, X.; Lin, J. Natural rubber/styrene–butadiene rubber blend composites potentially applied in damping bearings. </w:t>
      </w:r>
      <w:r>
        <w:rPr>
          <w:i/>
        </w:rPr>
        <w:t>Polymers</w:t>
      </w:r>
      <w:r>
        <w:rPr>
          <w:b w:val="0"/>
          <w:i w:val="0"/>
        </w:rPr>
        <w:t xml:space="preserve"> </w:t>
      </w:r>
      <w:r>
        <w:rPr>
          <w:b/>
          <w:i w:val="0"/>
        </w:rPr>
        <w:t>2024</w:t>
      </w:r>
      <w:r>
        <w:rPr>
          <w:b w:val="0"/>
          <w:i w:val="0"/>
        </w:rPr>
        <w:t xml:space="preserve">, </w:t>
      </w:r>
      <w:r>
        <w:rPr>
          <w:i/>
        </w:rPr>
        <w:t>16</w:t>
      </w:r>
      <w:r>
        <w:rPr>
          <w:b w:val="0"/>
          <w:i w:val="0"/>
        </w:rPr>
        <w:t>, 1945. DOI: 10.3390/polym16131945.</w:t>
      </w:r>
    </w:p>
    <w:p>
      <w:pPr>
        <w:spacing w:line="240" w:lineRule="auto" w:after="80"/>
        <w:jc w:val="both"/>
      </w:pPr>
      <w:r>
        <w:rPr>
          <w:b w:val="0"/>
          <w:i w:val="0"/>
        </w:rPr>
        <w:t xml:space="preserve">27. Floriano, J. F.; da Mota, L. S. L. S.; Furtado, E. L.; Rossetto, V. J. V.; Graeff, C. F. O. Biocompatibility studies of natural rubber latex from different tree clones and collection methods. </w:t>
      </w:r>
      <w:r>
        <w:rPr>
          <w:i/>
        </w:rPr>
        <w:t>J. Mater. Sci. Mater. Med.</w:t>
      </w:r>
      <w:r>
        <w:rPr>
          <w:b w:val="0"/>
          <w:i w:val="0"/>
        </w:rPr>
        <w:t xml:space="preserve"> </w:t>
      </w:r>
      <w:r>
        <w:rPr>
          <w:b/>
          <w:i w:val="0"/>
        </w:rPr>
        <w:t>2014</w:t>
      </w:r>
      <w:r>
        <w:rPr>
          <w:b w:val="0"/>
          <w:i w:val="0"/>
        </w:rPr>
        <w:t xml:space="preserve">, </w:t>
      </w:r>
      <w:r>
        <w:rPr>
          <w:i/>
        </w:rPr>
        <w:t>25</w:t>
      </w:r>
      <w:r>
        <w:rPr>
          <w:b w:val="0"/>
          <w:i w:val="0"/>
        </w:rPr>
        <w:t>, 461–470. DOI: 10.1007/s10856-013-5089-9.</w:t>
      </w:r>
    </w:p>
    <w:p>
      <w:pPr>
        <w:spacing w:line="240" w:lineRule="auto" w:after="80"/>
        <w:jc w:val="both"/>
      </w:pPr>
      <w:r>
        <w:rPr>
          <w:b w:val="0"/>
          <w:i w:val="0"/>
        </w:rPr>
        <w:t xml:space="preserve">28. Nucera, E.; Aruanno, A.; Rizzi, A.; Centrone, M. Latex allergy: current status and future perspectives. </w:t>
      </w:r>
      <w:r>
        <w:rPr>
          <w:i/>
        </w:rPr>
        <w:t>J. Asthma Allergy</w:t>
      </w:r>
      <w:r>
        <w:rPr>
          <w:b w:val="0"/>
          <w:i w:val="0"/>
        </w:rPr>
        <w:t xml:space="preserve"> </w:t>
      </w:r>
      <w:r>
        <w:rPr>
          <w:b/>
          <w:i w:val="0"/>
        </w:rPr>
        <w:t>2020</w:t>
      </w:r>
      <w:r>
        <w:rPr>
          <w:b w:val="0"/>
          <w:i w:val="0"/>
        </w:rPr>
        <w:t xml:space="preserve">, </w:t>
      </w:r>
      <w:r>
        <w:rPr>
          <w:i/>
        </w:rPr>
        <w:t>13</w:t>
      </w:r>
      <w:r>
        <w:rPr>
          <w:b w:val="0"/>
          <w:i w:val="0"/>
        </w:rPr>
        <w:t>, 385–398. DOI: 10.2147/JAA.S242058.</w:t>
      </w:r>
    </w:p>
    <w:p>
      <w:pPr>
        <w:spacing w:line="240" w:lineRule="auto" w:after="80"/>
        <w:jc w:val="both"/>
      </w:pPr>
      <w:r>
        <w:rPr>
          <w:b w:val="0"/>
          <w:i w:val="0"/>
        </w:rPr>
        <w:t xml:space="preserve">29. Cucci, G.; Valentini, F.; Dorigato, A. Cradle to gate life cycle assessment of tyre-grade natural rubber produced in Thailand. </w:t>
      </w:r>
      <w:r>
        <w:rPr>
          <w:i/>
        </w:rPr>
        <w:t>Sci. Total Environ.</w:t>
      </w:r>
      <w:r>
        <w:rPr>
          <w:b w:val="0"/>
          <w:i w:val="0"/>
        </w:rPr>
        <w:t xml:space="preserve"> </w:t>
      </w:r>
      <w:r>
        <w:rPr>
          <w:b/>
          <w:i w:val="0"/>
        </w:rPr>
        <w:t>2025</w:t>
      </w:r>
      <w:r>
        <w:rPr>
          <w:b w:val="0"/>
          <w:i w:val="0"/>
        </w:rPr>
        <w:t xml:space="preserve">, </w:t>
      </w:r>
      <w:r>
        <w:rPr>
          <w:i/>
        </w:rPr>
        <w:t>987</w:t>
      </w:r>
      <w:r>
        <w:rPr>
          <w:b w:val="0"/>
          <w:i w:val="0"/>
        </w:rPr>
        <w:t>, 179653. DOI: 10.1016/j.scitotenv.2025.179653.</w:t>
      </w:r>
    </w:p>
    <w:p>
      <w:pPr>
        <w:spacing w:line="240" w:lineRule="auto" w:after="80"/>
        <w:jc w:val="both"/>
      </w:pPr>
      <w:r>
        <w:rPr>
          <w:b w:val="0"/>
          <w:i w:val="0"/>
        </w:rPr>
        <w:t xml:space="preserve">30. Dunuwila, P.; Munasinghe, E.; Rodrigo, V. H. L.; Gong, W. T.; Daigo, I.; Goto, N. Revealing the environmental footprint of crepe rubber production: a life cycle assessment. </w:t>
      </w:r>
      <w:r>
        <w:rPr>
          <w:i/>
        </w:rPr>
        <w:t>Sustainability</w:t>
      </w:r>
      <w:r>
        <w:rPr>
          <w:b w:val="0"/>
          <w:i w:val="0"/>
        </w:rPr>
        <w:t xml:space="preserve"> </w:t>
      </w:r>
      <w:r>
        <w:rPr>
          <w:b/>
          <w:i w:val="0"/>
        </w:rPr>
        <w:t>2025</w:t>
      </w:r>
      <w:r>
        <w:rPr>
          <w:b w:val="0"/>
          <w:i w:val="0"/>
        </w:rPr>
        <w:t xml:space="preserve">, </w:t>
      </w:r>
      <w:r>
        <w:rPr>
          <w:i/>
        </w:rPr>
        <w:t>17</w:t>
      </w:r>
      <w:r>
        <w:rPr>
          <w:b w:val="0"/>
          <w:i w:val="0"/>
        </w:rPr>
        <w:t>, 1239. DOI: 10.3390/su17031239.</w:t>
      </w:r>
    </w:p>
    <w:p>
      <w:pPr>
        <w:spacing w:line="240" w:lineRule="auto" w:after="80"/>
        <w:jc w:val="both"/>
      </w:pPr>
      <w:r>
        <w:rPr>
          <w:b w:val="0"/>
          <w:i w:val="0"/>
        </w:rPr>
        <w:t xml:space="preserve">31. Boon, Z. H.; Teo, Y. Y.; Ang, D. T.-C. Recent development of biodegradable synthetic rubbers and bio-based rubbers using sustainable materials from biological sources. </w:t>
      </w:r>
      <w:r>
        <w:rPr>
          <w:i/>
        </w:rPr>
        <w:t>RSC Adv.</w:t>
      </w:r>
      <w:r>
        <w:rPr>
          <w:b w:val="0"/>
          <w:i w:val="0"/>
        </w:rPr>
        <w:t xml:space="preserve"> </w:t>
      </w:r>
      <w:r>
        <w:rPr>
          <w:b/>
          <w:i w:val="0"/>
        </w:rPr>
        <w:t>2022</w:t>
      </w:r>
      <w:r>
        <w:rPr>
          <w:b w:val="0"/>
          <w:i w:val="0"/>
        </w:rPr>
        <w:t xml:space="preserve">, </w:t>
      </w:r>
      <w:r>
        <w:rPr>
          <w:i/>
        </w:rPr>
        <w:t>12</w:t>
      </w:r>
      <w:r>
        <w:rPr>
          <w:b w:val="0"/>
          <w:i w:val="0"/>
        </w:rPr>
        <w:t>, 34028–34052. DOI: 10.1039/D2RA06602E.</w:t>
      </w:r>
    </w:p>
    <w:p>
      <w:pPr>
        <w:spacing w:line="240" w:lineRule="auto" w:after="80"/>
        <w:jc w:val="both"/>
      </w:pPr>
      <w:r>
        <w:rPr>
          <w:b w:val="0"/>
          <w:i w:val="0"/>
        </w:rPr>
        <w:t xml:space="preserve">32. U.S. Bureau of Labor Statistics. </w:t>
      </w:r>
      <w:r>
        <w:rPr>
          <w:i/>
        </w:rPr>
        <w:t>Why the Prices of Natural and Synthetic Rubber Do Not Always Bounce Together</w:t>
      </w:r>
      <w:r>
        <w:rPr>
          <w:b w:val="0"/>
          <w:i w:val="0"/>
        </w:rPr>
        <w:t>; Beyond the Numbers, Vol. 9; U.S. BLS: Washington, DC, 2020. Available at: bls.gov/opub/btn/volume-9/why-the-prices-of-natural-and-synthetic-rubber-do-not-always-bounce-together.htm</w:t>
      </w:r>
    </w:p>
    <w:p>
      <w:pPr>
        <w:spacing w:line="240" w:lineRule="auto" w:after="80"/>
        <w:jc w:val="both"/>
      </w:pPr>
      <w:r>
        <w:rPr>
          <w:b w:val="0"/>
          <w:i w:val="0"/>
        </w:rPr>
        <w:t xml:space="preserve">33. Nishiyama, Y.; Langan, P.; Chanzy, H. Crystal structure and hydrogen-bonding system in cellulose Iβ from synchrotron X-ray and neutron fiber diffraction. </w:t>
      </w:r>
      <w:r>
        <w:rPr>
          <w:i/>
        </w:rPr>
        <w:t>J. Am. Chem. Soc.</w:t>
      </w:r>
      <w:r>
        <w:rPr>
          <w:b w:val="0"/>
          <w:i w:val="0"/>
        </w:rPr>
        <w:t xml:space="preserve"> </w:t>
      </w:r>
      <w:r>
        <w:rPr>
          <w:b/>
          <w:i w:val="0"/>
        </w:rPr>
        <w:t>2002</w:t>
      </w:r>
      <w:r>
        <w:rPr>
          <w:b w:val="0"/>
          <w:i w:val="0"/>
        </w:rPr>
        <w:t xml:space="preserve">, </w:t>
      </w:r>
      <w:r>
        <w:rPr>
          <w:i/>
        </w:rPr>
        <w:t>124</w:t>
      </w:r>
      <w:r>
        <w:rPr>
          <w:b w:val="0"/>
          <w:i w:val="0"/>
        </w:rPr>
        <w:t>, 9074–9082. DOI: 10.1021/ja0257319.</w:t>
      </w:r>
    </w:p>
    <w:p>
      <w:pPr>
        <w:spacing w:line="240" w:lineRule="auto" w:after="80"/>
        <w:jc w:val="both"/>
      </w:pPr>
      <w:r>
        <w:rPr>
          <w:b w:val="0"/>
          <w:i w:val="0"/>
        </w:rPr>
        <w:t xml:space="preserve">34. Nishiyama, Y.; Sugiyama, J.; Chanzy, H.; Langan, P. Crystal structure and hydrogen bonding system in cellulose Iα from synchrotron X-ray and neutron fiber diffraction. </w:t>
      </w:r>
      <w:r>
        <w:rPr>
          <w:i/>
        </w:rPr>
        <w:t>J. Am. Chem. Soc.</w:t>
      </w:r>
      <w:r>
        <w:rPr>
          <w:b w:val="0"/>
          <w:i w:val="0"/>
        </w:rPr>
        <w:t xml:space="preserve"> </w:t>
      </w:r>
      <w:r>
        <w:rPr>
          <w:b/>
          <w:i w:val="0"/>
        </w:rPr>
        <w:t>2003</w:t>
      </w:r>
      <w:r>
        <w:rPr>
          <w:b w:val="0"/>
          <w:i w:val="0"/>
        </w:rPr>
        <w:t xml:space="preserve">, </w:t>
      </w:r>
      <w:r>
        <w:rPr>
          <w:i/>
        </w:rPr>
        <w:t>125</w:t>
      </w:r>
      <w:r>
        <w:rPr>
          <w:b w:val="0"/>
          <w:i w:val="0"/>
        </w:rPr>
        <w:t>, 14300–14306. DOI: 10.1021/ja037055w.</w:t>
      </w:r>
    </w:p>
    <w:p>
      <w:pPr>
        <w:spacing w:line="240" w:lineRule="auto" w:after="80"/>
        <w:jc w:val="both"/>
      </w:pPr>
      <w:r>
        <w:rPr>
          <w:b w:val="0"/>
          <w:i w:val="0"/>
        </w:rPr>
        <w:t xml:space="preserve">35. Nishino, T.; Takano, K.; Nakamae, K. Elastic modulus of the crystalline regions of cellulose polymorphs. </w:t>
      </w:r>
      <w:r>
        <w:rPr>
          <w:i/>
        </w:rPr>
        <w:t>J. Polym. Sci. B Polym. Phys.</w:t>
      </w:r>
      <w:r>
        <w:rPr>
          <w:b w:val="0"/>
          <w:i w:val="0"/>
        </w:rPr>
        <w:t xml:space="preserve"> </w:t>
      </w:r>
      <w:r>
        <w:rPr>
          <w:b/>
          <w:i w:val="0"/>
        </w:rPr>
        <w:t>1995</w:t>
      </w:r>
      <w:r>
        <w:rPr>
          <w:b w:val="0"/>
          <w:i w:val="0"/>
        </w:rPr>
        <w:t xml:space="preserve">, </w:t>
      </w:r>
      <w:r>
        <w:rPr>
          <w:i/>
        </w:rPr>
        <w:t>33</w:t>
      </w:r>
      <w:r>
        <w:rPr>
          <w:b w:val="0"/>
          <w:i w:val="0"/>
        </w:rPr>
        <w:t>, 1647–1651. DOI: 10.1002/polb.1995.090331110.</w:t>
      </w:r>
    </w:p>
    <w:p>
      <w:pPr>
        <w:spacing w:line="240" w:lineRule="auto" w:after="80"/>
        <w:jc w:val="both"/>
      </w:pPr>
      <w:r>
        <w:rPr>
          <w:b w:val="0"/>
          <w:i w:val="0"/>
        </w:rPr>
        <w:t xml:space="preserve">36. Eichhorn, S. J.; Baillie, C. A.; Zafeiropoulos, N.; Mwaikambo, L. Y.; Ansell, M. P.; Dufresne, A.; Entwistle, K. M.; Herrera-Franco, P. J.; Escamilla, G. C.; Groom, L.; Hughes, M.; Hill, C.; Rials, T. G.; Wild, P. M. Review: current international research into cellulosic fibres and composites. </w:t>
      </w:r>
      <w:r>
        <w:rPr>
          <w:i/>
        </w:rPr>
        <w:t>J. Mater. Sci.</w:t>
      </w:r>
      <w:r>
        <w:rPr>
          <w:b w:val="0"/>
          <w:i w:val="0"/>
        </w:rPr>
        <w:t xml:space="preserve"> </w:t>
      </w:r>
      <w:r>
        <w:rPr>
          <w:b/>
          <w:i w:val="0"/>
        </w:rPr>
        <w:t>2001</w:t>
      </w:r>
      <w:r>
        <w:rPr>
          <w:b w:val="0"/>
          <w:i w:val="0"/>
        </w:rPr>
        <w:t xml:space="preserve">, </w:t>
      </w:r>
      <w:r>
        <w:rPr>
          <w:i/>
        </w:rPr>
        <w:t>36</w:t>
      </w:r>
      <w:r>
        <w:rPr>
          <w:b w:val="0"/>
          <w:i w:val="0"/>
        </w:rPr>
        <w:t>, 2107–2131. DOI: 10.1023/A:1017512029696.</w:t>
      </w:r>
    </w:p>
    <w:p>
      <w:pPr>
        <w:spacing w:line="240" w:lineRule="auto" w:after="80"/>
        <w:jc w:val="both"/>
      </w:pPr>
      <w:r>
        <w:rPr>
          <w:b w:val="0"/>
          <w:i w:val="0"/>
        </w:rPr>
        <w:t xml:space="preserve">37. Rosenau, T.; Potthast, A.; Sixta, H.; Kosma, P. The chemistry of side reactions and byproduct formation in the system NMMO/cellulose (Lyocell process). </w:t>
      </w:r>
      <w:r>
        <w:rPr>
          <w:i/>
        </w:rPr>
        <w:t>Prog. Polym. Sci.</w:t>
      </w:r>
      <w:r>
        <w:rPr>
          <w:b w:val="0"/>
          <w:i w:val="0"/>
        </w:rPr>
        <w:t xml:space="preserve"> </w:t>
      </w:r>
      <w:r>
        <w:rPr>
          <w:b/>
          <w:i w:val="0"/>
        </w:rPr>
        <w:t>2001</w:t>
      </w:r>
      <w:r>
        <w:rPr>
          <w:b w:val="0"/>
          <w:i w:val="0"/>
        </w:rPr>
        <w:t xml:space="preserve">, </w:t>
      </w:r>
      <w:r>
        <w:rPr>
          <w:i/>
        </w:rPr>
        <w:t>26</w:t>
      </w:r>
      <w:r>
        <w:rPr>
          <w:b w:val="0"/>
          <w:i w:val="0"/>
        </w:rPr>
        <w:t>, 1763–1837. DOI: 10.1016/S0079-6700(01)00023-5.</w:t>
      </w:r>
    </w:p>
    <w:p>
      <w:pPr>
        <w:spacing w:line="240" w:lineRule="auto" w:after="80"/>
        <w:jc w:val="both"/>
      </w:pPr>
      <w:r>
        <w:rPr>
          <w:b w:val="0"/>
          <w:i w:val="0"/>
        </w:rPr>
        <w:t xml:space="preserve">38. Wang, S.; Li, C.; Copeland, L.; Niu, Q.; Wang, S. Starch retrogradation: a comprehensive review. </w:t>
      </w:r>
      <w:r>
        <w:rPr>
          <w:i/>
        </w:rPr>
        <w:t>Compr. Rev. Food Sci. Food Saf.</w:t>
      </w:r>
      <w:r>
        <w:rPr>
          <w:b w:val="0"/>
          <w:i w:val="0"/>
        </w:rPr>
        <w:t xml:space="preserve"> </w:t>
      </w:r>
      <w:r>
        <w:rPr>
          <w:b/>
          <w:i w:val="0"/>
        </w:rPr>
        <w:t>2015</w:t>
      </w:r>
      <w:r>
        <w:rPr>
          <w:b w:val="0"/>
          <w:i w:val="0"/>
        </w:rPr>
        <w:t xml:space="preserve">, </w:t>
      </w:r>
      <w:r>
        <w:rPr>
          <w:i/>
        </w:rPr>
        <w:t>14</w:t>
      </w:r>
      <w:r>
        <w:rPr>
          <w:b w:val="0"/>
          <w:i w:val="0"/>
        </w:rPr>
        <w:t>, 568–585. DOI: 10.1111/1541-4337.12143.</w:t>
      </w:r>
    </w:p>
    <w:p>
      <w:pPr>
        <w:spacing w:line="240" w:lineRule="auto" w:after="80"/>
        <w:jc w:val="both"/>
      </w:pPr>
      <w:r>
        <w:rPr>
          <w:b w:val="0"/>
          <w:i w:val="0"/>
        </w:rPr>
        <w:t xml:space="preserve">39. Rinaudo, M. Chitin and chitosan: properties and applications. </w:t>
      </w:r>
      <w:r>
        <w:rPr>
          <w:i/>
        </w:rPr>
        <w:t>Prog. Polym. Sci.</w:t>
      </w:r>
      <w:r>
        <w:rPr>
          <w:b w:val="0"/>
          <w:i w:val="0"/>
        </w:rPr>
        <w:t xml:space="preserve"> </w:t>
      </w:r>
      <w:r>
        <w:rPr>
          <w:b/>
          <w:i w:val="0"/>
        </w:rPr>
        <w:t>2006</w:t>
      </w:r>
      <w:r>
        <w:rPr>
          <w:b w:val="0"/>
          <w:i w:val="0"/>
        </w:rPr>
        <w:t xml:space="preserve">, </w:t>
      </w:r>
      <w:r>
        <w:rPr>
          <w:i/>
        </w:rPr>
        <w:t>31</w:t>
      </w:r>
      <w:r>
        <w:rPr>
          <w:b w:val="0"/>
          <w:i w:val="0"/>
        </w:rPr>
        <w:t>, 603–632. DOI: 10.1016/j.progpolymsci.2006.06.001.</w:t>
      </w:r>
    </w:p>
    <w:p>
      <w:pPr>
        <w:spacing w:line="240" w:lineRule="auto" w:after="80"/>
        <w:jc w:val="both"/>
      </w:pPr>
      <w:r>
        <w:rPr>
          <w:b w:val="0"/>
          <w:i w:val="0"/>
        </w:rPr>
        <w:t xml:space="preserve">40. Drumright, R. E.; Gruber, P. R.; Henton, D. E. Polylactic acid technology. </w:t>
      </w:r>
      <w:r>
        <w:rPr>
          <w:i/>
        </w:rPr>
        <w:t>Adv. Mater.</w:t>
      </w:r>
      <w:r>
        <w:rPr>
          <w:b w:val="0"/>
          <w:i w:val="0"/>
        </w:rPr>
        <w:t xml:space="preserve"> </w:t>
      </w:r>
      <w:r>
        <w:rPr>
          <w:b/>
          <w:i w:val="0"/>
        </w:rPr>
        <w:t>2000</w:t>
      </w:r>
      <w:r>
        <w:rPr>
          <w:b w:val="0"/>
          <w:i w:val="0"/>
        </w:rPr>
        <w:t xml:space="preserve">, </w:t>
      </w:r>
      <w:r>
        <w:rPr>
          <w:i/>
        </w:rPr>
        <w:t>12</w:t>
      </w:r>
      <w:r>
        <w:rPr>
          <w:b w:val="0"/>
          <w:i w:val="0"/>
        </w:rPr>
        <w:t>, 1841–1846. DOI: 10.1002/1521-4095(200012)12:23&lt;1841::AID-ADMA1841&gt;3.0.CO;2-E.</w:t>
      </w:r>
    </w:p>
    <w:p>
      <w:pPr>
        <w:spacing w:line="240" w:lineRule="auto" w:after="80"/>
        <w:jc w:val="both"/>
      </w:pPr>
      <w:r>
        <w:rPr>
          <w:b w:val="0"/>
          <w:i w:val="0"/>
        </w:rPr>
        <w:t xml:space="preserve">41. Kowalski, A.; Duda, A.; Penczek, S. Kinetics and mechanism of cyclic esters polymerization initiated with tin(II) octoate. 3. Polymerization of L,L-dilactide. </w:t>
      </w:r>
      <w:r>
        <w:rPr>
          <w:i/>
        </w:rPr>
        <w:t>Macromolecules</w:t>
      </w:r>
      <w:r>
        <w:rPr>
          <w:b w:val="0"/>
          <w:i w:val="0"/>
        </w:rPr>
        <w:t xml:space="preserve"> </w:t>
      </w:r>
      <w:r>
        <w:rPr>
          <w:b/>
          <w:i w:val="0"/>
        </w:rPr>
        <w:t>2000</w:t>
      </w:r>
      <w:r>
        <w:rPr>
          <w:b w:val="0"/>
          <w:i w:val="0"/>
        </w:rPr>
        <w:t xml:space="preserve">, </w:t>
      </w:r>
      <w:r>
        <w:rPr>
          <w:i/>
        </w:rPr>
        <w:t>33</w:t>
      </w:r>
      <w:r>
        <w:rPr>
          <w:b w:val="0"/>
          <w:i w:val="0"/>
        </w:rPr>
        <w:t>, 7359–7370. DOI: 10.1021/ma000125o.</w:t>
      </w:r>
    </w:p>
    <w:p>
      <w:pPr>
        <w:spacing w:line="240" w:lineRule="auto" w:after="80"/>
        <w:jc w:val="both"/>
      </w:pPr>
      <w:r>
        <w:rPr>
          <w:b w:val="0"/>
          <w:i w:val="0"/>
        </w:rPr>
        <w:t xml:space="preserve">42. Auras, R.; Harte, B.; Selke, S. An overview of polylactides as packaging materials. </w:t>
      </w:r>
      <w:r>
        <w:rPr>
          <w:i/>
        </w:rPr>
        <w:t>Macromol. Biosci.</w:t>
      </w:r>
      <w:r>
        <w:rPr>
          <w:b w:val="0"/>
          <w:i w:val="0"/>
        </w:rPr>
        <w:t xml:space="preserve"> </w:t>
      </w:r>
      <w:r>
        <w:rPr>
          <w:b/>
          <w:i w:val="0"/>
        </w:rPr>
        <w:t>2004</w:t>
      </w:r>
      <w:r>
        <w:rPr>
          <w:b w:val="0"/>
          <w:i w:val="0"/>
        </w:rPr>
        <w:t xml:space="preserve">, </w:t>
      </w:r>
      <w:r>
        <w:rPr>
          <w:i/>
        </w:rPr>
        <w:t>4</w:t>
      </w:r>
      <w:r>
        <w:rPr>
          <w:b w:val="0"/>
          <w:i w:val="0"/>
        </w:rPr>
        <w:t>, 835–864. DOI: 10.1002/mabi.200400043.</w:t>
      </w:r>
    </w:p>
    <w:p>
      <w:pPr>
        <w:spacing w:line="240" w:lineRule="auto" w:after="80"/>
        <w:jc w:val="both"/>
      </w:pPr>
      <w:r>
        <w:rPr>
          <w:b w:val="0"/>
          <w:i w:val="0"/>
        </w:rPr>
        <w:t xml:space="preserve">43. Farah, S.; Anderson, D. G.; Langer, R. Physical and mechanical properties of PLA, and their functions in widespread applications — a comprehensive review. </w:t>
      </w:r>
      <w:r>
        <w:rPr>
          <w:i/>
        </w:rPr>
        <w:t>Adv. Drug Deliv. Rev.</w:t>
      </w:r>
      <w:r>
        <w:rPr>
          <w:b w:val="0"/>
          <w:i w:val="0"/>
        </w:rPr>
        <w:t xml:space="preserve"> </w:t>
      </w:r>
      <w:r>
        <w:rPr>
          <w:b/>
          <w:i w:val="0"/>
        </w:rPr>
        <w:t>2016</w:t>
      </w:r>
      <w:r>
        <w:rPr>
          <w:b w:val="0"/>
          <w:i w:val="0"/>
        </w:rPr>
        <w:t xml:space="preserve">, </w:t>
      </w:r>
      <w:r>
        <w:rPr>
          <w:i/>
        </w:rPr>
        <w:t>107</w:t>
      </w:r>
      <w:r>
        <w:rPr>
          <w:b w:val="0"/>
          <w:i w:val="0"/>
        </w:rPr>
        <w:t>, 367–392. DOI: 10.1016/j.addr.2016.06.012.</w:t>
      </w:r>
    </w:p>
    <w:p>
      <w:pPr>
        <w:spacing w:line="240" w:lineRule="auto" w:after="80"/>
        <w:jc w:val="both"/>
      </w:pPr>
      <w:r>
        <w:rPr>
          <w:b w:val="0"/>
          <w:i w:val="0"/>
        </w:rPr>
        <w:t xml:space="preserve">44. Sin, L. T.; Rahmat, A. R.; Rahman, W. A. W. A. Thermal properties of poly(lactic acid). In </w:t>
      </w:r>
      <w:r>
        <w:rPr>
          <w:i/>
        </w:rPr>
        <w:t>Polylactic Acid: PLA Biopolymer Technology and Applications</w:t>
      </w:r>
      <w:r>
        <w:rPr>
          <w:b w:val="0"/>
          <w:i w:val="0"/>
        </w:rPr>
        <w:t>; William Andrew: Oxford, 2013; pp 109–141. DOI: 10.1016/B978-1-4377-4459-0.00003-2.</w:t>
      </w:r>
    </w:p>
    <w:p>
      <w:pPr>
        <w:spacing w:line="240" w:lineRule="auto" w:after="80"/>
        <w:jc w:val="both"/>
      </w:pPr>
      <w:r>
        <w:rPr>
          <w:b w:val="0"/>
          <w:i w:val="0"/>
        </w:rPr>
        <w:t xml:space="preserve">45. Shoulders, M. D.; Raines, R. T. Collagen structure and stability. </w:t>
      </w:r>
      <w:r>
        <w:rPr>
          <w:i/>
        </w:rPr>
        <w:t>Annu. Rev. Biochem.</w:t>
      </w:r>
      <w:r>
        <w:rPr>
          <w:b w:val="0"/>
          <w:i w:val="0"/>
        </w:rPr>
        <w:t xml:space="preserve"> </w:t>
      </w:r>
      <w:r>
        <w:rPr>
          <w:b/>
          <w:i w:val="0"/>
        </w:rPr>
        <w:t>2009</w:t>
      </w:r>
      <w:r>
        <w:rPr>
          <w:b w:val="0"/>
          <w:i w:val="0"/>
        </w:rPr>
        <w:t xml:space="preserve">, </w:t>
      </w:r>
      <w:r>
        <w:rPr>
          <w:i/>
        </w:rPr>
        <w:t>78</w:t>
      </w:r>
      <w:r>
        <w:rPr>
          <w:b w:val="0"/>
          <w:i w:val="0"/>
        </w:rPr>
        <w:t>, 929–958. DOI: 10.1146/annurev.biochem.77.032207.120833.</w:t>
      </w:r>
    </w:p>
    <w:p>
      <w:pPr>
        <w:spacing w:line="240" w:lineRule="auto" w:after="80"/>
        <w:jc w:val="both"/>
      </w:pPr>
      <w:r>
        <w:rPr>
          <w:b w:val="0"/>
          <w:i w:val="0"/>
        </w:rPr>
        <w:t xml:space="preserve">46. Stepto, R. F. T. Dispersity in polymer science (IUPAC Recommendations 2009). </w:t>
      </w:r>
      <w:r>
        <w:rPr>
          <w:i/>
        </w:rPr>
        <w:t>Pure Appl. Chem.</w:t>
      </w:r>
      <w:r>
        <w:rPr>
          <w:b w:val="0"/>
          <w:i w:val="0"/>
        </w:rPr>
        <w:t xml:space="preserve"> </w:t>
      </w:r>
      <w:r>
        <w:rPr>
          <w:b/>
          <w:i w:val="0"/>
        </w:rPr>
        <w:t>2009</w:t>
      </w:r>
      <w:r>
        <w:rPr>
          <w:b w:val="0"/>
          <w:i w:val="0"/>
        </w:rPr>
        <w:t xml:space="preserve">, </w:t>
      </w:r>
      <w:r>
        <w:rPr>
          <w:i/>
        </w:rPr>
        <w:t>81</w:t>
      </w:r>
      <w:r>
        <w:rPr>
          <w:b w:val="0"/>
          <w:i w:val="0"/>
        </w:rPr>
        <w:t>, 351–353. DOI: 10.1351/pac-rec-08-05-02.</w:t>
      </w:r>
    </w:p>
    <w:p>
      <w:pPr>
        <w:spacing w:line="240" w:lineRule="auto" w:after="80"/>
        <w:jc w:val="both"/>
      </w:pPr>
      <w:r>
        <w:rPr>
          <w:b w:val="0"/>
          <w:i w:val="0"/>
        </w:rPr>
        <w:t xml:space="preserve">47. Nunes, R. W.; Martin, J. R.; Johnson, J. F. Influence of molecular weight and molecular weight distribution on mechanical properties of polymers. </w:t>
      </w:r>
      <w:r>
        <w:rPr>
          <w:i/>
        </w:rPr>
        <w:t>Polym. Eng. Sci.</w:t>
      </w:r>
      <w:r>
        <w:rPr>
          <w:b w:val="0"/>
          <w:i w:val="0"/>
        </w:rPr>
        <w:t xml:space="preserve"> </w:t>
      </w:r>
      <w:r>
        <w:rPr>
          <w:b/>
          <w:i w:val="0"/>
        </w:rPr>
        <w:t>1982</w:t>
      </w:r>
      <w:r>
        <w:rPr>
          <w:b w:val="0"/>
          <w:i w:val="0"/>
        </w:rPr>
        <w:t xml:space="preserve">, </w:t>
      </w:r>
      <w:r>
        <w:rPr>
          <w:i/>
        </w:rPr>
        <w:t>22</w:t>
      </w:r>
      <w:r>
        <w:rPr>
          <w:b w:val="0"/>
          <w:i w:val="0"/>
        </w:rPr>
        <w:t>, 205–228. DOI: 10.1002/pen.760220402.</w:t>
      </w:r>
    </w:p>
    <w:p>
      <w:pPr>
        <w:spacing w:line="240" w:lineRule="auto" w:after="80"/>
        <w:jc w:val="both"/>
      </w:pPr>
      <w:r>
        <w:rPr>
          <w:b w:val="0"/>
          <w:i w:val="0"/>
        </w:rPr>
        <w:t xml:space="preserve">48. Fetters, L. J.; Lohse, D. J.; Richter, D.; Witten, T. A.; Zirkel, A. Connection between polymer molecular weight, density, chain dimensions, and melt viscoelastic properties. </w:t>
      </w:r>
      <w:r>
        <w:rPr>
          <w:i/>
        </w:rPr>
        <w:t>Macromolecules</w:t>
      </w:r>
      <w:r>
        <w:rPr>
          <w:b w:val="0"/>
          <w:i w:val="0"/>
        </w:rPr>
        <w:t xml:space="preserve"> </w:t>
      </w:r>
      <w:r>
        <w:rPr>
          <w:b/>
          <w:i w:val="0"/>
        </w:rPr>
        <w:t>1994</w:t>
      </w:r>
      <w:r>
        <w:rPr>
          <w:b w:val="0"/>
          <w:i w:val="0"/>
        </w:rPr>
        <w:t xml:space="preserve">, </w:t>
      </w:r>
      <w:r>
        <w:rPr>
          <w:i/>
        </w:rPr>
        <w:t>27</w:t>
      </w:r>
      <w:r>
        <w:rPr>
          <w:b w:val="0"/>
          <w:i w:val="0"/>
        </w:rPr>
        <w:t>, 4639–4647. DOI: 10.1021/ma00095a001.</w:t>
      </w:r>
    </w:p>
    <w:p>
      <w:pPr>
        <w:spacing w:line="240" w:lineRule="auto" w:after="80"/>
        <w:jc w:val="both"/>
      </w:pPr>
      <w:r>
        <w:rPr>
          <w:b w:val="0"/>
          <w:i w:val="0"/>
        </w:rPr>
        <w:t xml:space="preserve">49. von Burkersroda, F.; Schedl, L.; Göpferich, A. Why degradable polymers undergo surface erosion or bulk erosion. </w:t>
      </w:r>
      <w:r>
        <w:rPr>
          <w:i/>
        </w:rPr>
        <w:t>Biomaterials</w:t>
      </w:r>
      <w:r>
        <w:rPr>
          <w:b w:val="0"/>
          <w:i w:val="0"/>
        </w:rPr>
        <w:t xml:space="preserve"> </w:t>
      </w:r>
      <w:r>
        <w:rPr>
          <w:b/>
          <w:i w:val="0"/>
        </w:rPr>
        <w:t>2002</w:t>
      </w:r>
      <w:r>
        <w:rPr>
          <w:b w:val="0"/>
          <w:i w:val="0"/>
        </w:rPr>
        <w:t xml:space="preserve">, </w:t>
      </w:r>
      <w:r>
        <w:rPr>
          <w:i/>
        </w:rPr>
        <w:t>23</w:t>
      </w:r>
      <w:r>
        <w:rPr>
          <w:b w:val="0"/>
          <w:i w:val="0"/>
        </w:rPr>
        <w:t>, 4221–4231. DOI: 10.1016/S0142-9612(02)00170-9.</w:t>
      </w:r>
    </w:p>
    <w:p>
      <w:pPr>
        <w:spacing w:line="240" w:lineRule="auto" w:after="80"/>
        <w:jc w:val="both"/>
      </w:pPr>
      <w:r>
        <w:rPr>
          <w:b w:val="0"/>
          <w:i w:val="0"/>
        </w:rPr>
        <w:t xml:space="preserve">50. Lucas, N.; Bienaime, C.; Belloy, C.; Queneudec, M.; Silvestre, F.; Nava-Saucedo, J.-E. Polymer biodegradation: mechanisms and estimation techniques — a review. </w:t>
      </w:r>
      <w:r>
        <w:rPr>
          <w:i/>
        </w:rPr>
        <w:t>Chemosphere</w:t>
      </w:r>
      <w:r>
        <w:rPr>
          <w:b w:val="0"/>
          <w:i w:val="0"/>
        </w:rPr>
        <w:t xml:space="preserve"> </w:t>
      </w:r>
      <w:r>
        <w:rPr>
          <w:b/>
          <w:i w:val="0"/>
        </w:rPr>
        <w:t>2008</w:t>
      </w:r>
      <w:r>
        <w:rPr>
          <w:b w:val="0"/>
          <w:i w:val="0"/>
        </w:rPr>
        <w:t xml:space="preserve">, </w:t>
      </w:r>
      <w:r>
        <w:rPr>
          <w:i/>
        </w:rPr>
        <w:t>73</w:t>
      </w:r>
      <w:r>
        <w:rPr>
          <w:b w:val="0"/>
          <w:i w:val="0"/>
        </w:rPr>
        <w:t>, 429–442. DOI: 10.1016/j.chemosphere.2008.06.064.</w:t>
      </w:r>
    </w:p>
    <w:p>
      <w:pPr>
        <w:spacing w:line="240" w:lineRule="auto" w:after="80"/>
        <w:jc w:val="both"/>
      </w:pPr>
      <w:r>
        <w:rPr>
          <w:b w:val="0"/>
          <w:i w:val="0"/>
        </w:rPr>
        <w:t xml:space="preserve">51. Tokiwa, Y.; Calil, M. R.; Suzuki, T.; Aiba, S. Biodegradability of plastics. </w:t>
      </w:r>
      <w:r>
        <w:rPr>
          <w:i/>
        </w:rPr>
        <w:t>Int. J. Mol. Sci.</w:t>
      </w:r>
      <w:r>
        <w:rPr>
          <w:b w:val="0"/>
          <w:i w:val="0"/>
        </w:rPr>
        <w:t xml:space="preserve"> </w:t>
      </w:r>
      <w:r>
        <w:rPr>
          <w:b/>
          <w:i w:val="0"/>
        </w:rPr>
        <w:t>2009</w:t>
      </w:r>
      <w:r>
        <w:rPr>
          <w:b w:val="0"/>
          <w:i w:val="0"/>
        </w:rPr>
        <w:t xml:space="preserve">, </w:t>
      </w:r>
      <w:r>
        <w:rPr>
          <w:i/>
        </w:rPr>
        <w:t>10</w:t>
      </w:r>
      <w:r>
        <w:rPr>
          <w:b w:val="0"/>
          <w:i w:val="0"/>
        </w:rPr>
        <w:t>, 3722–3742. DOI: 10.3390/ijms10093722.</w:t>
      </w:r>
    </w:p>
    <w:p>
      <w:pPr>
        <w:spacing w:line="240" w:lineRule="auto" w:after="80"/>
        <w:jc w:val="both"/>
      </w:pPr>
      <w:r>
        <w:rPr>
          <w:b w:val="0"/>
          <w:i w:val="0"/>
        </w:rPr>
        <w:t xml:space="preserve">52. Middleton, J. C.; Tipton, A. J. Synthetic biodegradable polymers as orthopedic devices. </w:t>
      </w:r>
      <w:r>
        <w:rPr>
          <w:i/>
        </w:rPr>
        <w:t>Biomaterials</w:t>
      </w:r>
      <w:r>
        <w:rPr>
          <w:b w:val="0"/>
          <w:i w:val="0"/>
        </w:rPr>
        <w:t xml:space="preserve"> </w:t>
      </w:r>
      <w:r>
        <w:rPr>
          <w:b/>
          <w:i w:val="0"/>
        </w:rPr>
        <w:t>2000</w:t>
      </w:r>
      <w:r>
        <w:rPr>
          <w:b w:val="0"/>
          <w:i w:val="0"/>
        </w:rPr>
        <w:t xml:space="preserve">, </w:t>
      </w:r>
      <w:r>
        <w:rPr>
          <w:i/>
        </w:rPr>
        <w:t>21</w:t>
      </w:r>
      <w:r>
        <w:rPr>
          <w:b w:val="0"/>
          <w:i w:val="0"/>
        </w:rPr>
        <w:t>, 2335–2346. DOI: 10.1016/S0142-9612(00)00101-0.</w:t>
      </w:r>
    </w:p>
    <w:p>
      <w:pPr>
        <w:spacing w:line="240" w:lineRule="auto" w:after="80"/>
        <w:jc w:val="both"/>
      </w:pPr>
      <w:r>
        <w:rPr>
          <w:b w:val="0"/>
          <w:i w:val="0"/>
        </w:rPr>
        <w:t xml:space="preserve">53. Jem, K. J.; Tan, B. The development and challenges of poly(lactic acid) and poly(glycolic acid). </w:t>
      </w:r>
      <w:r>
        <w:rPr>
          <w:i/>
        </w:rPr>
        <w:t>Adv. Ind. Eng. Polym. Res.</w:t>
      </w:r>
      <w:r>
        <w:rPr>
          <w:b w:val="0"/>
          <w:i w:val="0"/>
        </w:rPr>
        <w:t xml:space="preserve"> </w:t>
      </w:r>
      <w:r>
        <w:rPr>
          <w:b/>
          <w:i w:val="0"/>
        </w:rPr>
        <w:t>2020</w:t>
      </w:r>
      <w:r>
        <w:rPr>
          <w:b w:val="0"/>
          <w:i w:val="0"/>
        </w:rPr>
        <w:t xml:space="preserve">, </w:t>
      </w:r>
      <w:r>
        <w:rPr>
          <w:i/>
        </w:rPr>
        <w:t>3</w:t>
      </w:r>
      <w:r>
        <w:rPr>
          <w:b w:val="0"/>
          <w:i w:val="0"/>
        </w:rPr>
        <w:t>, 60–70. DOI: 10.1016/j.aiepr.2020.01.002.</w:t>
      </w:r>
    </w:p>
    <w:p>
      <w:pPr>
        <w:spacing w:line="240" w:lineRule="auto" w:after="80"/>
        <w:jc w:val="both"/>
      </w:pPr>
      <w:r>
        <w:rPr>
          <w:b w:val="0"/>
          <w:i w:val="0"/>
        </w:rPr>
        <w:t xml:space="preserve">54. Ragauskas, A. J.; Beckham, G. T.; Biddy, M. J.; Chandra, R.; Chen, F.; Davis, M. F.; Davison, B. H.; Dixon, R. A.; Gilna, P.; Keller, M.; Langan, P.; Naskar, A. K.; Saddler, J. N.; Tschaplinski, T. J.; Tuskan, G. A.; Wyman, C. E. Lignin valorization: improving lignin processing in the biorefinery. </w:t>
      </w:r>
      <w:r>
        <w:rPr>
          <w:i/>
        </w:rPr>
        <w:t>Science</w:t>
      </w:r>
      <w:r>
        <w:rPr>
          <w:b w:val="0"/>
          <w:i w:val="0"/>
        </w:rPr>
        <w:t xml:space="preserve"> </w:t>
      </w:r>
      <w:r>
        <w:rPr>
          <w:b/>
          <w:i w:val="0"/>
        </w:rPr>
        <w:t>2014</w:t>
      </w:r>
      <w:r>
        <w:rPr>
          <w:b w:val="0"/>
          <w:i w:val="0"/>
        </w:rPr>
        <w:t xml:space="preserve">, </w:t>
      </w:r>
      <w:r>
        <w:rPr>
          <w:i/>
        </w:rPr>
        <w:t>344</w:t>
      </w:r>
      <w:r>
        <w:rPr>
          <w:b w:val="0"/>
          <w:i w:val="0"/>
        </w:rPr>
        <w:t>, 1246843. DOI: 10.1126/science.1246843.</w:t>
      </w:r>
    </w:p>
    <w:p>
      <w:pPr>
        <w:spacing w:line="240" w:lineRule="auto" w:after="80"/>
        <w:jc w:val="both"/>
      </w:pPr>
      <w:r>
        <w:rPr>
          <w:b w:val="0"/>
          <w:i w:val="0"/>
        </w:rPr>
        <w:t xml:space="preserve">55. Rinaudo, M. Main properties and current applications of some polysaccharides as biomaterials. </w:t>
      </w:r>
      <w:r>
        <w:rPr>
          <w:i/>
        </w:rPr>
        <w:t>Polym. Int.</w:t>
      </w:r>
      <w:r>
        <w:rPr>
          <w:b w:val="0"/>
          <w:i w:val="0"/>
        </w:rPr>
        <w:t xml:space="preserve"> </w:t>
      </w:r>
      <w:r>
        <w:rPr>
          <w:b/>
          <w:i w:val="0"/>
        </w:rPr>
        <w:t>2008</w:t>
      </w:r>
      <w:r>
        <w:rPr>
          <w:b w:val="0"/>
          <w:i w:val="0"/>
        </w:rPr>
        <w:t xml:space="preserve">, </w:t>
      </w:r>
      <w:r>
        <w:rPr>
          <w:i/>
        </w:rPr>
        <w:t>57</w:t>
      </w:r>
      <w:r>
        <w:rPr>
          <w:b w:val="0"/>
          <w:i w:val="0"/>
        </w:rPr>
        <w:t>, 397–430. DOI: 10.1002/pi.2378.</w:t>
      </w:r>
    </w:p>
    <w:p>
      <w:pPr>
        <w:spacing w:line="240" w:lineRule="auto" w:after="80"/>
        <w:jc w:val="both"/>
      </w:pPr>
      <w:r>
        <w:rPr>
          <w:b w:val="0"/>
          <w:i w:val="0"/>
        </w:rPr>
        <w:t xml:space="preserve">56. Kuenneth, C.; Ramprasad, R. polyBERT: a chemical language model to enable fully machine-driven ultrafast polymer informatics. </w:t>
      </w:r>
      <w:r>
        <w:rPr>
          <w:i/>
        </w:rPr>
        <w:t>Nat. Commun.</w:t>
      </w:r>
      <w:r>
        <w:rPr>
          <w:b w:val="0"/>
          <w:i w:val="0"/>
        </w:rPr>
        <w:t xml:space="preserve"> </w:t>
      </w:r>
      <w:r>
        <w:rPr>
          <w:b/>
          <w:i w:val="0"/>
        </w:rPr>
        <w:t>2023</w:t>
      </w:r>
      <w:r>
        <w:rPr>
          <w:b w:val="0"/>
          <w:i w:val="0"/>
        </w:rPr>
        <w:t xml:space="preserve">, </w:t>
      </w:r>
      <w:r>
        <w:rPr>
          <w:i/>
        </w:rPr>
        <w:t>14</w:t>
      </w:r>
      <w:r>
        <w:rPr>
          <w:b w:val="0"/>
          <w:i w:val="0"/>
        </w:rPr>
        <w:t>, 4099. DOI: 10.1038/s41467-023-39868-6.</w:t>
      </w:r>
    </w:p>
    <w:p>
      <w:pPr>
        <w:spacing w:line="240" w:lineRule="auto" w:after="80"/>
        <w:jc w:val="both"/>
      </w:pPr>
      <w:r>
        <w:rPr>
          <w:b w:val="0"/>
          <w:i w:val="0"/>
        </w:rPr>
        <w:t xml:space="preserve">57. Lightfoot, J. C.; Castro-Dominguez, B.; Buchard, A.; Parker, S. C. A molecular dynamics approach to modelling oxygen diffusion in PLA and PLA clay nanocomposites. </w:t>
      </w:r>
      <w:r>
        <w:rPr>
          <w:i/>
        </w:rPr>
        <w:t>Mater. Adv.</w:t>
      </w:r>
      <w:r>
        <w:rPr>
          <w:b w:val="0"/>
          <w:i w:val="0"/>
        </w:rPr>
        <w:t xml:space="preserve"> </w:t>
      </w:r>
      <w:r>
        <w:rPr>
          <w:b/>
          <w:i w:val="0"/>
        </w:rPr>
        <w:t>2023</w:t>
      </w:r>
      <w:r>
        <w:rPr>
          <w:b w:val="0"/>
          <w:i w:val="0"/>
        </w:rPr>
        <w:t xml:space="preserve">, </w:t>
      </w:r>
      <w:r>
        <w:rPr>
          <w:i/>
        </w:rPr>
        <w:t>4</w:t>
      </w:r>
      <w:r>
        <w:rPr>
          <w:b w:val="0"/>
          <w:i w:val="0"/>
        </w:rPr>
        <w:t>, 2281–2291. DOI: 10.1039/D3MA00158J.</w:t>
      </w:r>
    </w:p>
    <w:p>
      <w:pPr>
        <w:spacing w:line="240" w:lineRule="auto" w:after="80"/>
        <w:jc w:val="both"/>
      </w:pPr>
      <w:r>
        <w:rPr>
          <w:b w:val="0"/>
          <w:i w:val="0"/>
        </w:rPr>
        <w:t xml:space="preserve">58. Wang, X.; Li, J.; Zhang, L. Understanding self-accelerated water diffusion within poly-lactic acid via molecular dynamics simulation. </w:t>
      </w:r>
      <w:r>
        <w:rPr>
          <w:i/>
        </w:rPr>
        <w:t>Chin. J. Chem. Eng.</w:t>
      </w:r>
      <w:r>
        <w:rPr>
          <w:b w:val="0"/>
          <w:i w:val="0"/>
        </w:rPr>
        <w:t xml:space="preserve"> </w:t>
      </w:r>
      <w:r>
        <w:rPr>
          <w:b/>
          <w:i w:val="0"/>
        </w:rPr>
        <w:t>2019</w:t>
      </w:r>
      <w:r>
        <w:rPr>
          <w:b w:val="0"/>
          <w:i w:val="0"/>
        </w:rPr>
        <w:t xml:space="preserve">, </w:t>
      </w:r>
      <w:r>
        <w:rPr>
          <w:i/>
        </w:rPr>
        <w:t>27</w:t>
      </w:r>
      <w:r>
        <w:rPr>
          <w:b w:val="0"/>
          <w:i w:val="0"/>
        </w:rPr>
        <w:t>, 759–764. DOI: 10.1016/j.cjche.2018.09.009.</w:t>
      </w:r>
    </w:p>
    <w:p>
      <w:pPr>
        <w:spacing w:line="240" w:lineRule="auto" w:after="80"/>
        <w:jc w:val="both"/>
      </w:pPr>
      <w:r>
        <w:rPr>
          <w:b w:val="0"/>
          <w:i w:val="0"/>
        </w:rPr>
        <w:t xml:space="preserve">59. Zhan, C.-G.; Landry, D. W.; Ornstein, R. L. Reaction pathways and energy barriers for alkaline hydrolysis of carboxylic acid esters in water studied by a hybrid supermolecule-polarizable continuum approach. </w:t>
      </w:r>
      <w:r>
        <w:rPr>
          <w:i/>
        </w:rPr>
        <w:t>J. Am. Chem. Soc.</w:t>
      </w:r>
      <w:r>
        <w:rPr>
          <w:b w:val="0"/>
          <w:i w:val="0"/>
        </w:rPr>
        <w:t xml:space="preserve"> </w:t>
      </w:r>
      <w:r>
        <w:rPr>
          <w:b/>
          <w:i w:val="0"/>
        </w:rPr>
        <w:t>2000</w:t>
      </w:r>
      <w:r>
        <w:rPr>
          <w:b w:val="0"/>
          <w:i w:val="0"/>
        </w:rPr>
        <w:t xml:space="preserve">, </w:t>
      </w:r>
      <w:r>
        <w:rPr>
          <w:i/>
        </w:rPr>
        <w:t>122</w:t>
      </w:r>
      <w:r>
        <w:rPr>
          <w:b w:val="0"/>
          <w:i w:val="0"/>
        </w:rPr>
        <w:t>, 2621–2627. DOI: 10.1021/ja9937932.</w:t>
      </w:r>
    </w:p>
    <w:p>
      <w:pPr>
        <w:spacing w:line="240" w:lineRule="auto" w:after="80"/>
        <w:jc w:val="both"/>
      </w:pPr>
      <w:r>
        <w:rPr>
          <w:b w:val="0"/>
          <w:i w:val="0"/>
        </w:rPr>
        <w:t xml:space="preserve">60. Yamabe, S.; Tsuchida, N.; Hayashida, Y. Reaction paths of the water-assisted neutral hydrolysis of ethyl acetate. </w:t>
      </w:r>
      <w:r>
        <w:rPr>
          <w:i/>
        </w:rPr>
        <w:t>J. Phys. Chem. A</w:t>
      </w:r>
      <w:r>
        <w:rPr>
          <w:b w:val="0"/>
          <w:i w:val="0"/>
        </w:rPr>
        <w:t xml:space="preserve"> </w:t>
      </w:r>
      <w:r>
        <w:rPr>
          <w:b/>
          <w:i w:val="0"/>
        </w:rPr>
        <w:t>2005</w:t>
      </w:r>
      <w:r>
        <w:rPr>
          <w:b w:val="0"/>
          <w:i w:val="0"/>
        </w:rPr>
        <w:t xml:space="preserve">, </w:t>
      </w:r>
      <w:r>
        <w:rPr>
          <w:i/>
        </w:rPr>
        <w:t>109</w:t>
      </w:r>
      <w:r>
        <w:rPr>
          <w:b w:val="0"/>
          <w:i w:val="0"/>
        </w:rPr>
        <w:t>, 7216–7224. DOI: 10.1021/jp058029i.</w:t>
      </w:r>
    </w:p>
    <w:p>
      <w:pPr>
        <w:spacing w:line="240" w:lineRule="auto" w:after="80"/>
        <w:jc w:val="both"/>
      </w:pPr>
      <w:r>
        <w:rPr>
          <w:b w:val="0"/>
          <w:i w:val="0"/>
        </w:rPr>
        <w:t xml:space="preserve">61. de Koning, G. J. M.; Lemstra, P. J. Crystallization phenomena in bacterial poly[(R)-3-hydroxy- butyrate]: 2. Embrittlement and rejuvenation. </w:t>
      </w:r>
      <w:r>
        <w:rPr>
          <w:i/>
        </w:rPr>
        <w:t>Polymer</w:t>
      </w:r>
      <w:r>
        <w:rPr>
          <w:b w:val="0"/>
          <w:i w:val="0"/>
        </w:rPr>
        <w:t xml:space="preserve"> </w:t>
      </w:r>
      <w:r>
        <w:rPr>
          <w:b/>
          <w:i w:val="0"/>
        </w:rPr>
        <w:t>1993</w:t>
      </w:r>
      <w:r>
        <w:rPr>
          <w:b w:val="0"/>
          <w:i w:val="0"/>
        </w:rPr>
        <w:t xml:space="preserve">, </w:t>
      </w:r>
      <w:r>
        <w:rPr>
          <w:i/>
        </w:rPr>
        <w:t>34</w:t>
      </w:r>
      <w:r>
        <w:rPr>
          <w:b w:val="0"/>
          <w:i w:val="0"/>
        </w:rPr>
        <w:t>, 4089–4094. DOI: 10.1016/0032-3861(93)90671-V.</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widowControl/>
      <w:spacing w:before="40" w:after="20" w:line="240" w:lineRule="auto"/>
      <w:outlineLvl w:val="0"/>
    </w:pPr>
    <w:rPr>
      <w:rFonts w:asciiTheme="majorHAnsi" w:eastAsiaTheme="majorEastAsia" w:hAnsiTheme="majorHAnsi" w:cstheme="majorBidi" w:ascii="Times New Roman" w:hAnsi="Times New Roman" w:eastAsia="Times New Roman"/>
      <w:b/>
      <w:bCs/>
      <w:sz w:val="26"/>
      <w:szCs w:val="28"/>
    </w:rPr>
  </w:style>
  <w:style w:type="paragraph" w:styleId="Heading2">
    <w:name w:val="heading 2"/>
    <w:basedOn w:val="Normal"/>
    <w:next w:val="Normal"/>
    <w:link w:val="Heading2Char"/>
    <w:uiPriority w:val="9"/>
    <w:unhideWhenUsed/>
    <w:qFormat/>
    <w:rsid w:val="00FC693F"/>
    <w:pPr>
      <w:keepNext w:val="0"/>
      <w:keepLines w:val="0"/>
      <w:widowControl/>
      <w:spacing w:before="40" w:after="20" w:line="24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val="0"/>
      <w:keepLines w:val="0"/>
      <w:widowControl/>
      <w:spacing w:before="40" w:after="20" w:line="240" w:lineRule="auto"/>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val="0"/>
      <w:keepLines w:val="0"/>
      <w:widowControl/>
      <w:spacing w:before="40" w:after="20" w:line="240" w:lineRule="auto"/>
      <w:outlineLvl w:val="3"/>
    </w:pPr>
    <w:rPr>
      <w:rFonts w:asciiTheme="majorHAnsi" w:eastAsiaTheme="majorEastAsia" w:hAnsiTheme="majorHAnsi" w:cstheme="majorBidi" w:ascii="Times New Roman" w:hAnsi="Times New Roman" w:eastAsia="Times New Roman"/>
      <w:b/>
      <w:bCs/>
      <w:i/>
      <w:iCs/>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