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的完整中文对照翻译，逐节对应，供两位作者核对内容、术语和论证逻辑用。</w:t>
      </w:r>
      <w:r>
        <w:rPr>
          <w:b/>
          <w:i/>
        </w:rPr>
        <w:t>2026-08-28</w:t>
      </w:r>
      <w:r>
        <w:rPr>
          <w:b w:val="0"/>
          <w:i/>
        </w:rPr>
        <w:t>：图从 19 张精简到 15 张，删掉附录 A（正文各节的结构图已覆盖），降解三张图合并成一张两面板图，Table 2 改回真三线表，正文回到 10 页。以下是更早几轮的改版记录，仅供背景。这一版是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5950" cy="1737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595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局限"的因果链一次性总结在一张图里，下文正文只补充图上放不下的机理细节和引用。每种材料的单体结构与链尺度空间结构，分别画在各自小节（§3.1–§3.5）正文中。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298352" cy="17373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2．结构–性质因果链，每个家族一行：主导分子间作用力 → 关键结果 → 关键局限。表 1 的五类主链在这里显示为七行（多糖、聚酯各拆两行，因为两个成员行为不同）。颜色按主链化学类别，箭头从左到右读作一条因果链</w:t>
      </w:r>
    </w:p>
    <w:p>
      <w:pPr>
        <w:pStyle w:val="Heading2"/>
      </w:pPr>
      <w:r>
        <w:t>3.1 多糖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3．多糖重复单元（RDKit，已核对 SMILES）：(a) 纤维素、(b) 直链淀粉、(c) 壳聚糖、 (d) 海藻酸 M、(e) 海藻酸 G。(a)/(b) 只差 C1 构型——这个中心把纤维素的伸展结晶带状链和直链淀粉的水增塑螺旋分开；(d)/(e) 只差 C5，M/G 比决定海藻酸盐的刚性–脆性权衡（§8）。海藻酸 G 的绝对构型只核对了"是 M 的 C5 差向异构体"，提交前需对照文献结构再核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β-(1→4)-D-吡喃葡萄糖——通过氢键把伸展的带状链锁定成片层结构（Iα、Iβ）[33,34]；加工只能走溶液路线（NMMO/Lyocell [37]、LiCl/DMAc），纳米晶体/纳米纤丝正是利用其晶体模量（沿链轴约 130–150 GPa [35]）作为增强填料 [2]。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47434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434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4．纤维素的三级结构：(a) 链内 O3–H···O5′ 氢键锁定带状构象，(b) 片层内链间氢键， (c) 片层间范德华 / CH···O 堆叠成 Iα（三斜）/ Iβ（单斜）晶体。(a)–(c) 累积的内聚能超过糖苷主链键能，所以纤维素在到达熔点前就在约 300 °C 分解，且只溶于能破坏氢键网络的溶剂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的直链淀粉/支链淀粉拓扑结构（而非化学组成）解释了它更弱、随湿度可逆变化的结晶度，以及储存时的回生 [38]（TPS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的脱乙酰度（DD）决定溶解性、电荷和抗菌活性 [39]，但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374" cy="1737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0374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5．多糖链尺度结构：(a) 直链淀粉左手螺旋（对比图 4 纤维素的伸展带状链；I₂/水进入螺旋腔增塑），(b) 海藻酸 Ca²⁺"蛋盒"式 G-嵌段结点——离子键、可被螯合剂逆转，G 含量决定结点密度即刚性–脆性，(c) 壳聚糖不规则脱乙酰打断纤维素依赖的规则氢键排布，溶解性升、结晶度降。纤维素自身的链尺度结构在图 4</w:t>
      </w:r>
    </w:p>
    <w:p>
      <w:pPr>
        <w:pStyle w:val="Heading2"/>
      </w:pPr>
      <w:r>
        <w:t>3.2 聚酯：PHA 与 PLA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374" cy="1737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0374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6．聚酯结构：(a) PHB、(b) PLLA 重复单元（RDKit，已核对 SMILES；手性碳不与链端相邻，故标 (R)/(S)），(c) PHA/PLA 螺旋堆积（PHB 2₁、PLLA 10₃ 螺旋）——能结晶但仍能熔融的螺旋，不同于纤维素先分解的氢键带状链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：丙交酯经 Sn(Oct)₂ 配位–插入机理开环聚合 [40,41]，能达到直接缩聚无法达到的有用分子量；PLLA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16479" cy="1737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6479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7．蛋白质结构：(a) 丝素蛋白 (Gly-Ala)ₙ、(b) 胶原蛋白 Gly-Pro-Hyp 主链重复单元（RDKit）；(c) 丝素反平行 β-折叠纳米晶体（2–4 nm，氢键连接，分散在柔顺无定形基体中—— 丝的强度与韧性兼得的来源）；(d) 胶原 Gly-X-Y 三螺旋，每第三位的甘氨酸是唯一能塞进拥挤核心的残基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三螺旋由羟脯氨酸的立体电子效应稳定 [45]，变性后不可逆地转变为明胶。玉米醇溶蛋白/酪蛋白/大豆蛋白是成膜材料，不是结构材料（§8）。核糖体合成精确固定了每个蛋白质分子的链长和序列（Đ = 1.0）——这是任何非模板合成的生物聚合物都无法达到的（§4）。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8．三种单木质醇前体（RDKit）：(a) 对香豆醇（0 个甲氧基）、(b) 松柏醇（1 个）、 (c) 芥子醇（2 个）。这三者自由基偶联成无规交联网络、没有周期性链，所以只画单体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不规则。自由基偶联的单木质醇构成了一个无规交联的网络（β-O-4 醚键约占连接方式的 45–60% [9]），其组成随植物种类而变化，用于工业时还随提取方法而变化（硫酸盐法、有机溶剂法、木质素磺酸盐法）[54]，这正是为什么不存在单一的"木质素"结构–性质关系。木质素没有周期性的链，所以这里只画单体，不像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9．天然橡胶重复单元：*顺*-1,4-聚异戊二烯（RDKit，已核对 SMILES）。链尺度的应变诱导结晶结构见 §7.3 案例研究的图 15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11/12 与本表内部自洽；提交前每一条都必须替换为有文献支撑的数值，并注明测试条件（试样形态、含水量、热历史）。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Mw/Mn（IUPAC 术语 [46]）以及聚合度（DP）是标准的描述量；Đ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10）：模板控制的生物合成让蛋白质和核酸的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48868" cy="2194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88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 [48]；低于 Mc，强度和韧性会崩塌。在 Mc 之上，拉伸强度随 Mn 上升后趋于饱和（Flory 型关系， σ ≈ σ∞ − K/Mn）[47]，所以降解——最先表现为分子量下降——可以在只造成轻微性能损失的情况下持续一段时间，直到跌回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 [44]（§3.2）。图 11 保守地画出 TGA 分解起始温度——对 PLLA 和 PHB 而言，实际可用窗口还要更窄，因为熔体水解（§4）会更早开始。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6916" cy="1737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6916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12）：高结晶度和密集的氢键提高了模量，但也去掉了让聚烯烃能在断裂前拉伸的柔性链段，所以生物聚合物相对于 PE/PP/PET 普遍集中在高模量、低断裂伸长率区间 [11,43]。天然橡胶是例外——静置时几乎没有模量，性能是按需通过 SIC 产生的（§3.5、§7.3）。图 12 的窗口画成区域而不是点：样品形态、含水量、结晶度和热历史都能把同一材料的数据挪动一个数量级，这一点会在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01187" cy="1737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1187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13）。聚酯通过自催化酯水解降解（每次断链产生的酸性端基会催化进一步水解，所以内部比表面降解得更快——制品薄到临界厚度以下即本体侵蚀 [49]，图 13a）；多糖和蛋白质则通过酶解降解，酶只能触及无定形链段，所以速率由可及表面积决定，而不是整体化学 [50]（图 13b）。因此结晶度再次成为本文的核心权衡——设定模量（§5.2）、阻挡吸水（§5.3）的同一个特征，也阻挡了原本会降解材料的攻击。⚙️ 计算得到的酯水解活化能垒次序为碱催化 &lt; 酸催化 &lt; 中性水，与聚酯降解速率对 pH 的依赖一致。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13．两条降解路径：(a) 聚酯主链酯键水解——羧基端自催化进一步水解，所以厚制品从内部先坏（本体侵蚀）；(b) 多糖/蛋白的酶解只能进入无定形区，所以结晶度决定速率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14 把 §5.1 的加工窗口转化成一个加工决策：是否存在稳定的熔融窗口决定了走熔融加工还是溶液加工，每种材料窗口的宽度再决定这个加工过程需要控制得多严格。由此得到一个反复出现的判断：大多数所谓"性能不足"其实是加工窗口不足，而不是材料本身的性质不足（§5.1–5.2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30380" cy="2194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038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14．加工路线判定流程图：是否存在稳定熔融窗口？→ 熔融加工（PBS/PHB/PLA，窗口宽度决定控制严格程度）或溶液加工（纤维素/壳聚糖溶解路线）→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 [51]（§5.4）。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 [52]、胶原蛋白/海藻酸盐水凝胶、壳聚糖敷料 [55] 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是通用 PE/PP 的好几倍价格，PHA 更贵 [16,53]；提交前还需要一份当前市场报告给出材料专属的 $/kg 数字。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以上（§3.2）[13,42]；它的氧气/二氧化碳透过率与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 [43]；淀粉的性质随湿度漂移（§3.1、§5.3），PLA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15 画出链尺度结构起源，表 5 据此对两者在七个维度上打分，引用编号直接列在表里，并在参考文献中展开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342" cy="21945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134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15．NR 与 SBR 结构：(a) NR（*顺*-1,4-聚异戊二烯）、(b) SBR 的 1,4-丁二烯单元、 (c) SBR 的苯乙烯单元（RDKit，已核对 SMILES）；(d) 链尺度上，立构规整的 NR 受力时排列成结晶束（SIC，X 射线证实），SBR 无规主链即使拉伸仍保持无定形——即表 5"SIC 与抗撕裂性" 一行的结构基础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的组成则是通过乳液/溶液共聚工程化设定的，生产本身是一个连续的工业化过程 [20,21]。在配方相匹配的条件下，NR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是成熟的缝合线材料，主要失效模式是酸性水解产物导致的局部 pH 下降 [52,53]；胶原蛋白/海藻酸盐/壳聚糖把同样的逻辑延伸到支架和生物打印 [55]。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 [36]）和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 / 聚合物信息学 ML 模型 [56]），缩短主链化学匹配加工窗口的试错周期。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56 条，DOI 均经 Crossref 核对；已满足作业 50–60 条要求)*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。2026-08-28 新增 [33]–[56]，都是给"之前没有引用的既有事实"补的背景来源（纤维素晶体结构与模量、Lyocell 化学、淀粉回生、壳聚糖性质、丙交酯 ROP 机理、PLA 综述、胶原三螺旋、IUPAC 离散度术语、分子量–力学关系、表面/本体侵蚀、酶解机理、PGA/PLGA 医用、木质素炼制、多糖生物材料、聚合物信息学 ML）。 §7.3 的 15 条 NR/SBR 文献来自作者自己整理的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，还有约 3 条未用可备补。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的数值仍需逐行对全文核对；§7.2 价格需要一份当前市场报告给材料专属 $/kg。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