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Biopolymers: Structure, Properties and Performance Limits</w:t>
      </w:r>
    </w:p>
    <w:p>
      <w:pPr>
        <w:jc w:val="center"/>
      </w:pPr>
      <w:r>
        <w:rPr>
          <w:i/>
        </w:rPr>
        <w:t>CM3254 Project Report · [Author 1, Matric No.] · [Author 2, Matric No.] · [Date]</w:t>
      </w:r>
    </w:p>
    <w:p>
      <w:r>
        <w:rPr>
          <w:b/>
          <w:i/>
        </w:rPr>
        <w:t>AI Tool Declaration</w:t>
      </w:r>
      <w:r>
        <w:rPr>
          <w:b w:val="0"/>
          <w:i/>
        </w:rPr>
        <w:t xml:space="preserve"> — </w:t>
      </w:r>
      <w:r>
        <w:rPr>
          <w:i/>
        </w:rPr>
        <w:t>(final wording to be added on the first page before submission)</w:t>
      </w:r>
    </w:p>
    <w:p>
      <w:pPr>
        <w:pStyle w:val="Heading1"/>
      </w:pPr>
      <w:r>
        <w:t>1. Introduction and Definition</w:t>
      </w:r>
    </w:p>
    <w:p>
      <w:pPr>
        <w:jc w:val="both"/>
      </w:pPr>
      <w:r>
        <w:rPr>
          <w:b w:val="0"/>
          <w:i w:val="0"/>
        </w:rPr>
        <w:t xml:space="preserve">A biopolymer is a macromolecule synthesised by a living organism: polysaccharides, proteins, nucleic acids, </w:t>
      </w:r>
      <w:r>
        <w:rPr>
          <w:i/>
        </w:rPr>
        <w:t>cis</w:t>
      </w:r>
      <w:r>
        <w:rPr>
          <w:b w:val="0"/>
          <w:i w:val="0"/>
        </w:rPr>
        <w:t>-1,4-polyisoprene and lignin together account for most of the organic polymer on Earth [1]. This report also covers polymers made by polymerising biomass-derived monomers — chiefly poly(lactic acid) (PLA) — whose properties are best understood alongside the true biopolymers.</w:t>
      </w:r>
    </w:p>
    <w:p>
      <w:pPr>
        <w:jc w:val="both"/>
      </w:pPr>
      <w:r>
        <w:rPr>
          <w:b w:val="0"/>
          <w:i w:val="0"/>
        </w:rPr>
        <w:t>Three structural features set these chains apart from synthetic polymers: template-directed biosynthesis fixes chain length and sequence (proteins and nucleic acids are strictly monodisperse, Đ = 1.00); enantiomerically pure monomer pools make the chains stereoregular by default; and hydroxyl, amide or carbonyl groups on almost every repeat unit push cohesive energy densities well above the polyolefins'. Every property and limitation examined below follows from these three: high stiffness and crystallinity, but also brittleness, water sensitivity, and decomposition that arrives close to or below the melting point (§5.4).</w:t>
      </w:r>
    </w:p>
    <w:p>
      <w:pPr>
        <w:pStyle w:val="Heading1"/>
      </w:pPr>
      <w:r>
        <w:t>2. Types of Biopolymers</w:t>
      </w:r>
    </w:p>
    <w:p>
      <w:pPr>
        <w:jc w:val="both"/>
      </w:pPr>
      <w:r>
        <w:rPr>
          <w:b w:val="0"/>
          <w:i w:val="0"/>
        </w:rPr>
        <w:t xml:space="preserve">Biopolymers are usually classified first by origin — extracted from biomass, synthesised by micro-organisms, or polymerised from bio-based monomers — but origin predicts behaviour poorly: materials of the same origin can process and degrade completely differently, and materials of different origins can behave alike. The repeating backbone linkage is the better predictor, since it sets both melting survival and degradation mechanism, so this review is organised by backbone chemistry (Table 1, Fig. 1); origin is kept only as a secondary tag, since it still explains </w:t>
      </w:r>
      <w:r>
        <w:rPr>
          <w:i/>
        </w:rPr>
        <w:t>why</w:t>
      </w:r>
      <w:r>
        <w:rPr>
          <w:b w:val="0"/>
          <w:i w:val="0"/>
        </w:rPr>
        <w:t xml:space="preserve"> molecular weight and purity vary within a class (§4).</w:t>
      </w:r>
    </w:p>
    <w:p>
      <w:pPr>
        <w:spacing w:line="240" w:lineRule="auto" w:after="40"/>
      </w:pPr>
      <w:r>
        <w:rPr>
          <w:b/>
          <w:i w:val="0"/>
          <w:sz w:val="20"/>
        </w:rPr>
        <w:t>Table 1.</w:t>
      </w:r>
      <w:r>
        <w:rPr>
          <w:b w:val="0"/>
          <w:i w:val="0"/>
          <w:sz w:val="20"/>
        </w:rPr>
        <w:t xml:space="preserve"> Classification of biopolymers by backbone chemistry, the axis this review is organised on; origin (extracted / microbial / bio-monomer) is a secondary property, not the primary split.</w:t>
      </w:r>
    </w:p>
    <w:tbl>
      <w:tblPr>
        <w:tblW w:type="auto" w:w="0"/>
        <w:jc w:val="center"/>
        <w:tblLayout w:type="fixed"/>
        <w:tblLook w:firstColumn="1" w:firstRow="1" w:lastColumn="0" w:lastRow="0" w:noHBand="0" w:noVBand="1" w:val="04A0"/>
        <w:tblLayout w:type="fixed"/>
      </w:tblPr>
      <w:tblGrid>
        <w:gridCol w:w="1867"/>
        <w:gridCol w:w="1466"/>
        <w:gridCol w:w="2276"/>
        <w:gridCol w:w="3318"/>
      </w:tblGrid>
      <w:tr>
        <w:tc>
          <w:tcPr>
            <w:tcW w:type="dxa" w:w="1867"/>
            <w:tcBorders>
              <w:top w:val="single" w:sz="8" w:space="0" w:color="000000"/>
              <w:bottom w:val="single" w:sz="8" w:space="0" w:color="000000"/>
            </w:tcBorders>
          </w:tcPr>
          <w:p>
            <w:pPr>
              <w:spacing w:after="10" w:before="10" w:line="240" w:lineRule="auto"/>
            </w:pPr>
            <w:r>
              <w:rPr>
                <w:rFonts w:ascii="Arial" w:hAnsi="Arial"/>
                <w:b/>
                <w:i w:val="0"/>
                <w:sz w:val="16"/>
              </w:rPr>
              <w:t>Backbone class</w:t>
            </w:r>
          </w:p>
        </w:tc>
        <w:tc>
          <w:tcPr>
            <w:tcW w:type="dxa" w:w="1467"/>
            <w:tcBorders>
              <w:top w:val="single" w:sz="8" w:space="0" w:color="000000"/>
              <w:bottom w:val="single" w:sz="8" w:space="0" w:color="000000"/>
            </w:tcBorders>
          </w:tcPr>
          <w:p>
            <w:pPr>
              <w:spacing w:after="10" w:before="10" w:line="240" w:lineRule="auto"/>
            </w:pPr>
            <w:r>
              <w:rPr>
                <w:rFonts w:ascii="Arial" w:hAnsi="Arial"/>
                <w:b/>
                <w:i w:val="0"/>
                <w:sz w:val="16"/>
              </w:rPr>
              <w:t>Repeating linkage</w:t>
            </w:r>
          </w:p>
        </w:tc>
        <w:tc>
          <w:tcPr>
            <w:tcW w:type="dxa" w:w="2276"/>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c>
          <w:tcPr>
            <w:tcW w:type="dxa" w:w="3318"/>
            <w:tcBorders>
              <w:top w:val="single" w:sz="8" w:space="0" w:color="000000"/>
              <w:bottom w:val="single" w:sz="8" w:space="0" w:color="000000"/>
            </w:tcBorders>
          </w:tcPr>
          <w:p>
            <w:pPr>
              <w:spacing w:after="10" w:before="10" w:line="240" w:lineRule="auto"/>
            </w:pPr>
            <w:r>
              <w:rPr>
                <w:rFonts w:ascii="Arial" w:hAnsi="Arial"/>
                <w:b/>
                <w:i w:val="0"/>
                <w:sz w:val="16"/>
              </w:rPr>
              <w:t>Characteristic behaviour</w:t>
            </w:r>
          </w:p>
        </w:tc>
      </w:tr>
      <w:tr>
        <w:tc>
          <w:tcPr>
            <w:tcW w:type="dxa" w:w="1867"/>
            <w:tcBorders>
              <w:top w:val="nil"/>
              <w:bottom w:val="nil"/>
            </w:tcBorders>
          </w:tcPr>
          <w:p>
            <w:pPr>
              <w:spacing w:after="10" w:before="10" w:line="240" w:lineRule="auto"/>
            </w:pPr>
            <w:r>
              <w:rPr>
                <w:rFonts w:ascii="Arial" w:hAnsi="Arial"/>
                <w:b w:val="0"/>
                <w:i w:val="0"/>
                <w:sz w:val="16"/>
              </w:rPr>
              <w:t>Polysaccharide</w:t>
            </w:r>
          </w:p>
        </w:tc>
        <w:tc>
          <w:tcPr>
            <w:tcW w:type="dxa" w:w="1467"/>
            <w:tcBorders>
              <w:top w:val="nil"/>
              <w:bottom w:val="nil"/>
            </w:tcBorders>
          </w:tcPr>
          <w:p>
            <w:pPr>
              <w:spacing w:after="10" w:before="10" w:line="240" w:lineRule="auto"/>
            </w:pPr>
            <w:r>
              <w:rPr>
                <w:rFonts w:ascii="Arial" w:hAnsi="Arial"/>
                <w:b w:val="0"/>
                <w:i w:val="0"/>
                <w:sz w:val="16"/>
              </w:rPr>
              <w:t>glycosidic (acetal)</w:t>
            </w:r>
          </w:p>
        </w:tc>
        <w:tc>
          <w:tcPr>
            <w:tcW w:type="dxa" w:w="2276"/>
            <w:tcBorders>
              <w:top w:val="nil"/>
              <w:bottom w:val="nil"/>
            </w:tcBorders>
          </w:tcPr>
          <w:p>
            <w:pPr>
              <w:spacing w:after="10" w:before="10" w:line="240" w:lineRule="auto"/>
            </w:pPr>
            <w:r>
              <w:rPr>
                <w:rFonts w:ascii="Arial" w:hAnsi="Arial"/>
                <w:b w:val="0"/>
                <w:i w:val="0"/>
                <w:sz w:val="16"/>
              </w:rPr>
              <w:t>cellulose, starch, chitosan, alginate</w:t>
            </w:r>
          </w:p>
        </w:tc>
        <w:tc>
          <w:tcPr>
            <w:tcW w:type="dxa" w:w="3318"/>
            <w:tcBorders>
              <w:top w:val="nil"/>
              <w:bottom w:val="nil"/>
            </w:tcBorders>
          </w:tcPr>
          <w:p>
            <w:pPr>
              <w:spacing w:after="10" w:before="10" w:line="240" w:lineRule="auto"/>
            </w:pPr>
            <w:r>
              <w:rPr>
                <w:rFonts w:ascii="Arial" w:hAnsi="Arial"/>
                <w:b w:val="0"/>
                <w:i w:val="0"/>
                <w:sz w:val="16"/>
              </w:rPr>
              <w:t>dense inter-chain hydrogen bonding; decomposition before melting; enzymatic degradation</w:t>
            </w:r>
          </w:p>
        </w:tc>
      </w:tr>
      <w:tr>
        <w:tc>
          <w:tcPr>
            <w:tcW w:type="dxa" w:w="1867"/>
            <w:tcBorders>
              <w:top w:val="nil"/>
              <w:bottom w:val="nil"/>
            </w:tcBorders>
          </w:tcPr>
          <w:p>
            <w:pPr>
              <w:spacing w:after="10" w:before="10" w:line="240" w:lineRule="auto"/>
            </w:pPr>
            <w:r>
              <w:rPr>
                <w:rFonts w:ascii="Arial" w:hAnsi="Arial"/>
                <w:b w:val="0"/>
                <w:i w:val="0"/>
                <w:sz w:val="16"/>
              </w:rPr>
              <w:t>Polyester</w:t>
            </w:r>
          </w:p>
        </w:tc>
        <w:tc>
          <w:tcPr>
            <w:tcW w:type="dxa" w:w="1467"/>
            <w:tcBorders>
              <w:top w:val="nil"/>
              <w:bottom w:val="nil"/>
            </w:tcBorders>
          </w:tcPr>
          <w:p>
            <w:pPr>
              <w:spacing w:after="10" w:before="10" w:line="240" w:lineRule="auto"/>
            </w:pPr>
            <w:r>
              <w:rPr>
                <w:rFonts w:ascii="Arial" w:hAnsi="Arial"/>
                <w:b w:val="0"/>
                <w:i w:val="0"/>
                <w:sz w:val="16"/>
              </w:rPr>
              <w:t>ester</w:t>
            </w:r>
          </w:p>
        </w:tc>
        <w:tc>
          <w:tcPr>
            <w:tcW w:type="dxa" w:w="2276"/>
            <w:tcBorders>
              <w:top w:val="nil"/>
              <w:bottom w:val="nil"/>
            </w:tcBorders>
          </w:tcPr>
          <w:p>
            <w:pPr>
              <w:spacing w:after="10" w:before="10" w:line="240" w:lineRule="auto"/>
            </w:pPr>
            <w:r>
              <w:rPr>
                <w:rFonts w:ascii="Arial" w:hAnsi="Arial"/>
                <w:b w:val="0"/>
                <w:i w:val="0"/>
                <w:sz w:val="16"/>
              </w:rPr>
              <w:t>PHA, PLA</w:t>
            </w:r>
          </w:p>
        </w:tc>
        <w:tc>
          <w:tcPr>
            <w:tcW w:type="dxa" w:w="3318"/>
            <w:tcBorders>
              <w:top w:val="nil"/>
              <w:bottom w:val="nil"/>
            </w:tcBorders>
          </w:tcPr>
          <w:p>
            <w:pPr>
              <w:spacing w:after="10" w:before="10" w:line="240" w:lineRule="auto"/>
            </w:pPr>
            <w:r>
              <w:rPr>
                <w:rFonts w:ascii="Arial" w:hAnsi="Arial"/>
                <w:b w:val="0"/>
                <w:i w:val="0"/>
                <w:sz w:val="16"/>
              </w:rPr>
              <w:t>melt-processable but thermally labile; autocatalytic hydrolysis</w:t>
            </w:r>
          </w:p>
        </w:tc>
      </w:tr>
      <w:tr>
        <w:tc>
          <w:tcPr>
            <w:tcW w:type="dxa" w:w="1867"/>
            <w:tcBorders>
              <w:top w:val="nil"/>
              <w:bottom w:val="nil"/>
            </w:tcBorders>
          </w:tcPr>
          <w:p>
            <w:pPr>
              <w:spacing w:after="10" w:before="10" w:line="240" w:lineRule="auto"/>
            </w:pPr>
            <w:r>
              <w:rPr>
                <w:rFonts w:ascii="Arial" w:hAnsi="Arial"/>
                <w:b w:val="0"/>
                <w:i w:val="0"/>
                <w:sz w:val="16"/>
              </w:rPr>
              <w:t>Protein</w:t>
            </w:r>
          </w:p>
        </w:tc>
        <w:tc>
          <w:tcPr>
            <w:tcW w:type="dxa" w:w="1467"/>
            <w:tcBorders>
              <w:top w:val="nil"/>
              <w:bottom w:val="nil"/>
            </w:tcBorders>
          </w:tcPr>
          <w:p>
            <w:pPr>
              <w:spacing w:after="10" w:before="10" w:line="240" w:lineRule="auto"/>
            </w:pPr>
            <w:r>
              <w:rPr>
                <w:rFonts w:ascii="Arial" w:hAnsi="Arial"/>
                <w:b w:val="0"/>
                <w:i w:val="0"/>
                <w:sz w:val="16"/>
              </w:rPr>
              <w:t>amide</w:t>
            </w:r>
          </w:p>
        </w:tc>
        <w:tc>
          <w:tcPr>
            <w:tcW w:type="dxa" w:w="2276"/>
            <w:tcBorders>
              <w:top w:val="nil"/>
              <w:bottom w:val="nil"/>
            </w:tcBorders>
          </w:tcPr>
          <w:p>
            <w:pPr>
              <w:spacing w:after="10" w:before="10" w:line="240" w:lineRule="auto"/>
            </w:pPr>
            <w:r>
              <w:rPr>
                <w:rFonts w:ascii="Arial" w:hAnsi="Arial"/>
                <w:b w:val="0"/>
                <w:i w:val="0"/>
                <w:sz w:val="16"/>
              </w:rPr>
              <w:t>silk fibroin, collagen/gelatin</w:t>
            </w:r>
          </w:p>
        </w:tc>
        <w:tc>
          <w:tcPr>
            <w:tcW w:type="dxa" w:w="3318"/>
            <w:tcBorders>
              <w:top w:val="nil"/>
              <w:bottom w:val="nil"/>
            </w:tcBorders>
          </w:tcPr>
          <w:p>
            <w:pPr>
              <w:spacing w:after="10" w:before="10" w:line="240" w:lineRule="auto"/>
            </w:pPr>
            <w:r>
              <w:rPr>
                <w:rFonts w:ascii="Arial" w:hAnsi="Arial"/>
                <w:b w:val="0"/>
                <w:i w:val="0"/>
                <w:sz w:val="16"/>
              </w:rPr>
              <w:t>sequence-defined and monodisperse; conformation-controlled properties</w:t>
            </w:r>
          </w:p>
        </w:tc>
      </w:tr>
      <w:tr>
        <w:tc>
          <w:tcPr>
            <w:tcW w:type="dxa" w:w="1867"/>
            <w:tcBorders>
              <w:top w:val="nil"/>
              <w:bottom w:val="nil"/>
            </w:tcBorders>
          </w:tcPr>
          <w:p>
            <w:pPr>
              <w:spacing w:after="10" w:before="10" w:line="240" w:lineRule="auto"/>
            </w:pPr>
            <w:r>
              <w:rPr>
                <w:rFonts w:ascii="Arial" w:hAnsi="Arial"/>
                <w:b w:val="0"/>
                <w:i w:val="0"/>
                <w:sz w:val="16"/>
              </w:rPr>
              <w:t>Polyphenolic</w:t>
            </w:r>
          </w:p>
        </w:tc>
        <w:tc>
          <w:tcPr>
            <w:tcW w:type="dxa" w:w="1467"/>
            <w:tcBorders>
              <w:top w:val="nil"/>
              <w:bottom w:val="nil"/>
            </w:tcBorders>
          </w:tcPr>
          <w:p>
            <w:pPr>
              <w:spacing w:after="10" w:before="10" w:line="240" w:lineRule="auto"/>
            </w:pPr>
            <w:r>
              <w:rPr>
                <w:rFonts w:ascii="Arial" w:hAnsi="Arial"/>
                <w:b w:val="0"/>
                <w:i w:val="0"/>
                <w:sz w:val="16"/>
              </w:rPr>
              <w:t>β-O-4 ether, C–C</w:t>
            </w:r>
          </w:p>
        </w:tc>
        <w:tc>
          <w:tcPr>
            <w:tcW w:type="dxa" w:w="2276"/>
            <w:tcBorders>
              <w:top w:val="nil"/>
              <w:bottom w:val="nil"/>
            </w:tcBorders>
          </w:tcPr>
          <w:p>
            <w:pPr>
              <w:spacing w:after="10" w:before="10" w:line="240" w:lineRule="auto"/>
            </w:pPr>
            <w:r>
              <w:rPr>
                <w:rFonts w:ascii="Arial" w:hAnsi="Arial"/>
                <w:b w:val="0"/>
                <w:i w:val="0"/>
                <w:sz w:val="16"/>
              </w:rPr>
              <w:t>lignin</w:t>
            </w:r>
          </w:p>
        </w:tc>
        <w:tc>
          <w:tcPr>
            <w:tcW w:type="dxa" w:w="3318"/>
            <w:tcBorders>
              <w:top w:val="nil"/>
              <w:bottom w:val="nil"/>
            </w:tcBorders>
          </w:tcPr>
          <w:p>
            <w:pPr>
              <w:spacing w:after="10" w:before="10" w:line="240" w:lineRule="auto"/>
            </w:pPr>
            <w:r>
              <w:rPr>
                <w:rFonts w:ascii="Arial" w:hAnsi="Arial"/>
                <w:b w:val="0"/>
                <w:i w:val="0"/>
                <w:sz w:val="16"/>
              </w:rPr>
              <w:t>irregular, cross-linked, amorphous; chemically recalcitrant</w:t>
            </w:r>
          </w:p>
        </w:tc>
      </w:tr>
      <w:tr>
        <w:tc>
          <w:tcPr>
            <w:tcW w:type="dxa" w:w="1867"/>
            <w:tcBorders>
              <w:top w:val="nil"/>
              <w:bottom w:val="single" w:sz="8" w:space="0" w:color="000000"/>
            </w:tcBorders>
          </w:tcPr>
          <w:p>
            <w:pPr>
              <w:spacing w:after="10" w:before="10" w:line="240" w:lineRule="auto"/>
            </w:pPr>
            <w:r>
              <w:rPr>
                <w:rFonts w:ascii="Arial" w:hAnsi="Arial"/>
                <w:b w:val="0"/>
                <w:i w:val="0"/>
                <w:sz w:val="16"/>
              </w:rPr>
              <w:t>Polyisoprene</w:t>
            </w:r>
          </w:p>
        </w:tc>
        <w:tc>
          <w:tcPr>
            <w:tcW w:type="dxa" w:w="1467"/>
            <w:tcBorders>
              <w:top w:val="nil"/>
              <w:bottom w:val="single" w:sz="8" w:space="0" w:color="000000"/>
            </w:tcBorders>
          </w:tcPr>
          <w:p>
            <w:pPr>
              <w:spacing w:after="10" w:before="10" w:line="240" w:lineRule="auto"/>
            </w:pPr>
            <w:r>
              <w:rPr>
                <w:rFonts w:ascii="Arial" w:hAnsi="Arial"/>
                <w:b w:val="0"/>
                <w:i w:val="0"/>
                <w:sz w:val="16"/>
              </w:rPr>
              <w:t>C–C</w:t>
            </w:r>
          </w:p>
        </w:tc>
        <w:tc>
          <w:tcPr>
            <w:tcW w:type="dxa" w:w="2276"/>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318"/>
            <w:tcBorders>
              <w:top w:val="nil"/>
              <w:bottom w:val="single" w:sz="8" w:space="0" w:color="000000"/>
            </w:tcBorders>
          </w:tcPr>
          <w:p>
            <w:pPr>
              <w:spacing w:after="10" w:before="10" w:line="240" w:lineRule="auto"/>
            </w:pPr>
            <w:r>
              <w:rPr>
                <w:rFonts w:ascii="Arial" w:hAnsi="Arial"/>
                <w:b w:val="0"/>
                <w:i w:val="0"/>
                <w:sz w:val="16"/>
              </w:rPr>
              <w:t>elastomeric; strain-induced crystallisation</w:t>
            </w:r>
          </w:p>
        </w:tc>
      </w:tr>
    </w:tbl>
    <w:p>
      <w:pPr>
        <w:spacing w:after="0" w:line="240" w:lineRule="auto"/>
      </w:pPr>
    </w:p>
    <w:p>
      <w:pPr>
        <w:keepNext/>
        <w:spacing w:after="40"/>
        <w:jc w:val="center"/>
      </w:pPr>
      <w:r>
        <w:drawing>
          <wp:inline xmlns:a="http://schemas.openxmlformats.org/drawingml/2006/main" xmlns:pic="http://schemas.openxmlformats.org/drawingml/2006/picture">
            <wp:extent cx="2305950" cy="1737360"/>
            <wp:docPr id="1" name="Picture 1"/>
            <wp:cNvGraphicFramePr>
              <a:graphicFrameLocks noChangeAspect="1"/>
            </wp:cNvGraphicFramePr>
            <a:graphic>
              <a:graphicData uri="http://schemas.openxmlformats.org/drawingml/2006/picture">
                <pic:pic>
                  <pic:nvPicPr>
                    <pic:cNvPr id="0" name="fig1_classification.png"/>
                    <pic:cNvPicPr/>
                  </pic:nvPicPr>
                  <pic:blipFill>
                    <a:blip r:embed="rId9"/>
                    <a:stretch>
                      <a:fillRect/>
                    </a:stretch>
                  </pic:blipFill>
                  <pic:spPr>
                    <a:xfrm>
                      <a:off x="0" y="0"/>
                      <a:ext cx="2305950" cy="1737360"/>
                    </a:xfrm>
                    <a:prstGeom prst="rect"/>
                  </pic:spPr>
                </pic:pic>
              </a:graphicData>
            </a:graphic>
          </wp:inline>
        </w:drawing>
      </w:r>
    </w:p>
    <w:p>
      <w:pPr>
        <w:spacing w:line="240" w:lineRule="auto" w:after="80"/>
        <w:jc w:val="center"/>
      </w:pPr>
      <w:r>
        <w:rPr>
          <w:i/>
          <w:sz w:val="20"/>
        </w:rPr>
        <w:t>Figure 1. Classification by backbone chemistry (primary branches, coloured, matching Table 1 and Fig. 2), with each material's origin shown as a small E/M/S tag: extracted from biomass, synthesised by micro-organisms, or polymerised from bio-based monomers</w:t>
      </w:r>
    </w:p>
    <w:p>
      <w:pPr>
        <w:pStyle w:val="Heading1"/>
      </w:pPr>
      <w:r>
        <w:t>3. Structure–Property Relationships of the Major Biopolymer Families</w:t>
      </w:r>
    </w:p>
    <w:p>
      <w:pPr>
        <w:jc w:val="both"/>
      </w:pPr>
      <w:r>
        <w:rPr>
          <w:b w:val="0"/>
          <w:i w:val="0"/>
        </w:rPr>
        <w:t>This section examines five families along one axis — backbone flexibility and the intermolecular forces it permits — running from cellulose (an extended, hydrogen-bonded backbone that never melts) to natural rubber (a freely rotating backbone, amorphous until strained). Between them lie polysaccharides with weaker or ionically tunable interchain forces, semicrystalline polyesters that melt-process only within narrow thermal windows, and template-folded proteins whose properties come from defined fold, not chain packing; lignin is the counterpoint — an irregular cross-linked network with no periodic chain. The claim tested throughout: backbone chemistry, not biological origin, predicts melting, hydrolytic/enzymatic susceptibility and mechanical performance (Table 2). Fig. 2 carries the force → consequence → limitation chain for each family, so the text below adds only mechanism and citations; each family's monomer and chain-scale structure is drawn in its subsection.</w:t>
      </w:r>
    </w:p>
    <w:p>
      <w:pPr>
        <w:keepNext/>
        <w:spacing w:after="40"/>
        <w:jc w:val="center"/>
      </w:pPr>
      <w:r>
        <w:drawing>
          <wp:inline xmlns:a="http://schemas.openxmlformats.org/drawingml/2006/main" xmlns:pic="http://schemas.openxmlformats.org/drawingml/2006/picture">
            <wp:extent cx="2298352" cy="1737359"/>
            <wp:docPr id="2" name="Picture 2"/>
            <wp:cNvGraphicFramePr>
              <a:graphicFrameLocks noChangeAspect="1"/>
            </wp:cNvGraphicFramePr>
            <a:graphic>
              <a:graphicData uri="http://schemas.openxmlformats.org/drawingml/2006/picture">
                <pic:pic>
                  <pic:nvPicPr>
                    <pic:cNvPr id="0" name="fig7_causality_chain.png"/>
                    <pic:cNvPicPr/>
                  </pic:nvPicPr>
                  <pic:blipFill>
                    <a:blip r:embed="rId10"/>
                    <a:stretch>
                      <a:fillRect/>
                    </a:stretch>
                  </pic:blipFill>
                  <pic:spPr>
                    <a:xfrm>
                      <a:off x="0" y="0"/>
                      <a:ext cx="2298352" cy="1737359"/>
                    </a:xfrm>
                    <a:prstGeom prst="rect"/>
                  </pic:spPr>
                </pic:pic>
              </a:graphicData>
            </a:graphic>
          </wp:inline>
        </w:drawing>
      </w:r>
    </w:p>
    <w:p>
      <w:pPr>
        <w:spacing w:line="240" w:lineRule="auto" w:after="80"/>
        <w:jc w:val="center"/>
      </w:pPr>
      <w:r>
        <w:rPr>
          <w:i/>
          <w:sz w:val="20"/>
        </w:rPr>
        <w:t>Figure 2. Structure–property causal chain, one row per family: dominant intermolecular force → key consequence → key limitation. The five backbone classes of Table 1 appear as seven rows here (polysaccharides and polyesters are each split into two, since their two members behave distinctly). Colour follows the backbone-chemistry class; the arrows read left to right as one causal chain per family.</w:t>
      </w:r>
    </w:p>
    <w:p>
      <w:pPr>
        <w:pStyle w:val="Heading2"/>
      </w:pPr>
      <w:r>
        <w:t>3.1 Polysaccharides</w:t>
      </w:r>
    </w:p>
    <w:p>
      <w:pPr>
        <w:keepNext/>
        <w:spacing w:after="40"/>
        <w:jc w:val="center"/>
      </w:pPr>
      <w:r>
        <w:drawing>
          <wp:inline xmlns:a="http://schemas.openxmlformats.org/drawingml/2006/main" xmlns:pic="http://schemas.openxmlformats.org/drawingml/2006/picture">
            <wp:extent cx="5943600" cy="1188720"/>
            <wp:docPr id="3" name="Picture 3"/>
            <wp:cNvGraphicFramePr>
              <a:graphicFrameLocks noChangeAspect="1"/>
            </wp:cNvGraphicFramePr>
            <a:graphic>
              <a:graphicData uri="http://schemas.openxmlformats.org/drawingml/2006/picture">
                <pic:pic>
                  <pic:nvPicPr>
                    <pic:cNvPr id="0" name="fig_polysaccharide_monomers.png"/>
                    <pic:cNvPicPr/>
                  </pic:nvPicPr>
                  <pic:blipFill>
                    <a:blip r:embed="rId11"/>
                    <a:stretch>
                      <a:fillRect/>
                    </a:stretch>
                  </pic:blipFill>
                  <pic:spPr>
                    <a:xfrm>
                      <a:off x="0" y="0"/>
                      <a:ext cx="5943600" cy="1188720"/>
                    </a:xfrm>
                    <a:prstGeom prst="rect"/>
                  </pic:spPr>
                </pic:pic>
              </a:graphicData>
            </a:graphic>
          </wp:inline>
        </w:drawing>
      </w:r>
    </w:p>
    <w:p>
      <w:pPr>
        <w:spacing w:line="240" w:lineRule="auto" w:after="80"/>
        <w:jc w:val="center"/>
      </w:pPr>
      <w:r>
        <w:rPr>
          <w:i/>
          <w:sz w:val="20"/>
        </w:rPr>
        <w:t>Figure 3. Polysaccharide repeat units drawn by the authors with RDKit from verified SMILES: (a) cellulose (β-1,4-D-glucan), (b) amylose (α-1,4-D-glucan), (c) chitosan (2-amino-2-deoxy-D-glucan), (d) alginate M (β-D-mannuronate), (e) alginate G (α-L-guluronate). (a) and (b) differ only in the configuration at C1 — the single centre that separates cellulose's extended, 60–70% crystalline ribbon from amylose's water-plasticised helix; (d) and (e) differ only at C5, and the M/G ratio sets alginate's stiffness–brittleness trade-off (§8). Alginate G's absolute configuration is verified only as the C5 epimer of M — cross-check against a literature structure before submission.</w:t>
      </w:r>
    </w:p>
    <w:p>
      <w:pPr>
        <w:jc w:val="both"/>
      </w:pPr>
      <w:r>
        <w:rPr>
          <w:b w:val="0"/>
          <w:i w:val="0"/>
        </w:rPr>
        <w:t xml:space="preserve">Polysaccharides span the rigid end of the spectrum. </w:t>
      </w:r>
      <w:r>
        <w:rPr>
          <w:b/>
          <w:i w:val="0"/>
        </w:rPr>
        <w:t>Cellulose</w:t>
      </w:r>
      <w:r>
        <w:rPr>
          <w:b w:val="0"/>
          <w:i w:val="0"/>
        </w:rPr>
        <w:t xml:space="preserve"> — linear β-(1→4)-D-glucopyranose — forms an extended ribbon hydrogen-bonded into sheets (Iα, Iβ) [33,34]; it cannot be melt-processed and is handled only by solution routes (NMMO/Lyocell [37], LiCl/DMAc), while nanocrystals and nanofibrils exploit its ~130–150 GPa axial crystal modulus [35] as fillers [2].</w:t>
      </w:r>
    </w:p>
    <w:p>
      <w:pPr>
        <w:keepNext/>
        <w:spacing w:after="40"/>
        <w:jc w:val="center"/>
      </w:pPr>
      <w:r>
        <w:drawing>
          <wp:inline xmlns:a="http://schemas.openxmlformats.org/drawingml/2006/main" xmlns:pic="http://schemas.openxmlformats.org/drawingml/2006/picture">
            <wp:extent cx="4474342" cy="1737360"/>
            <wp:docPr id="4" name="Picture 4"/>
            <wp:cNvGraphicFramePr>
              <a:graphicFrameLocks noChangeAspect="1"/>
            </wp:cNvGraphicFramePr>
            <a:graphic>
              <a:graphicData uri="http://schemas.openxmlformats.org/drawingml/2006/picture">
                <pic:pic>
                  <pic:nvPicPr>
                    <pic:cNvPr id="0" name="fig3_cellulose_hierarchy.png"/>
                    <pic:cNvPicPr/>
                  </pic:nvPicPr>
                  <pic:blipFill>
                    <a:blip r:embed="rId12"/>
                    <a:stretch>
                      <a:fillRect/>
                    </a:stretch>
                  </pic:blipFill>
                  <pic:spPr>
                    <a:xfrm>
                      <a:off x="0" y="0"/>
                      <a:ext cx="4474342" cy="1737360"/>
                    </a:xfrm>
                    <a:prstGeom prst="rect"/>
                  </pic:spPr>
                </pic:pic>
              </a:graphicData>
            </a:graphic>
          </wp:inline>
        </w:drawing>
      </w:r>
    </w:p>
    <w:p>
      <w:pPr>
        <w:spacing w:line="240" w:lineRule="auto" w:after="80"/>
        <w:jc w:val="center"/>
      </w:pPr>
      <w:r>
        <w:rPr>
          <w:i/>
          <w:sz w:val="20"/>
        </w:rPr>
        <w:t>Figure 4. Cellulose's three-tier structure, drawn by the authors: (a) the intrachain O3–H···O5′ hydrogen bond that locks the ribbon conformation, (b) interchain hydrogen bonding within a sheet, (c) van der Waals / CH···O stacking of sheets into the Iα (triclinic) / Iβ (monoclinic) crystal. Cohesive energy accumulated over (a)–(c) exceeds the strength of the glycosidic backbone, so cellulose decomposes near 300 °C before any melting transition and dissolves only in solvents that break the hydrogen-bond network.</w:t>
      </w:r>
    </w:p>
    <w:p>
      <w:pPr>
        <w:jc w:val="both"/>
      </w:pPr>
      <w:r>
        <w:rPr>
          <w:b/>
          <w:i w:val="0"/>
        </w:rPr>
        <w:t>Starch's</w:t>
      </w:r>
      <w:r>
        <w:rPr>
          <w:b w:val="0"/>
          <w:i w:val="0"/>
        </w:rPr>
        <w:t xml:space="preserve"> amylose/amylopectin topology (not chemistry) gives it weaker, humidity-reversible crystallinity and retrogradation on storage [38] (hence TPS/PLA/PBAT blends). </w:t>
      </w:r>
      <w:r>
        <w:rPr>
          <w:b/>
          <w:i w:val="0"/>
        </w:rPr>
        <w:t>Chitosan's</w:t>
      </w:r>
      <w:r>
        <w:rPr>
          <w:b w:val="0"/>
          <w:i w:val="0"/>
        </w:rPr>
        <w:t xml:space="preserve"> degree of deacetylation (DD) sets solubility, charge and antimicrobial activity [39], but high-DD chitosan is typically low-MW because the alkaline step that raises DD also cleaves the backbone [3]. </w:t>
      </w:r>
      <w:r>
        <w:rPr>
          <w:b/>
          <w:i w:val="0"/>
        </w:rPr>
        <w:t>Alginate</w:t>
      </w:r>
      <w:r>
        <w:rPr>
          <w:b w:val="0"/>
          <w:i w:val="0"/>
        </w:rPr>
        <w:t xml:space="preserve"> gels via Ca²⁺-coordinated "egg-box" GG-blocks [4], G-content setting a stiffness–brittleness trade-off (§8); hyaluronic acid, carrageenan, xanthan and pectin follow the same linkage-chemistry logic.</w:t>
      </w:r>
    </w:p>
    <w:p>
      <w:pPr>
        <w:keepNext/>
        <w:spacing w:after="40"/>
        <w:jc w:val="center"/>
      </w:pPr>
      <w:r>
        <w:drawing>
          <wp:inline xmlns:a="http://schemas.openxmlformats.org/drawingml/2006/main" xmlns:pic="http://schemas.openxmlformats.org/drawingml/2006/picture">
            <wp:extent cx="5680374" cy="1737360"/>
            <wp:docPr id="5" name="Picture 5"/>
            <wp:cNvGraphicFramePr>
              <a:graphicFrameLocks noChangeAspect="1"/>
            </wp:cNvGraphicFramePr>
            <a:graphic>
              <a:graphicData uri="http://schemas.openxmlformats.org/drawingml/2006/picture">
                <pic:pic>
                  <pic:nvPicPr>
                    <pic:cNvPr id="0" name="fig_polysaccharide_chains.png"/>
                    <pic:cNvPicPr/>
                  </pic:nvPicPr>
                  <pic:blipFill>
                    <a:blip r:embed="rId13"/>
                    <a:stretch>
                      <a:fillRect/>
                    </a:stretch>
                  </pic:blipFill>
                  <pic:spPr>
                    <a:xfrm>
                      <a:off x="0" y="0"/>
                      <a:ext cx="5680374" cy="1737360"/>
                    </a:xfrm>
                    <a:prstGeom prst="rect"/>
                  </pic:spPr>
                </pic:pic>
              </a:graphicData>
            </a:graphic>
          </wp:inline>
        </w:drawing>
      </w:r>
    </w:p>
    <w:p>
      <w:pPr>
        <w:spacing w:line="240" w:lineRule="auto" w:after="80"/>
        <w:jc w:val="center"/>
      </w:pPr>
      <w:r>
        <w:rPr>
          <w:i/>
          <w:sz w:val="20"/>
        </w:rPr>
        <w:t>Figure 5. Polysaccharide chain-scale structure, drawn by the authors: (a) amylose's left-handed helix (contrast cellulose's extended ribbon in Fig. 4; I₂ and water enter the cavity and plasticise the chain), (b) alginate's Ca²⁺-bridged "egg-box" G-block junction — ionic and reversible with a chelator, G-content setting junction density and hence stiffness vs. brittleness, (c) chitosan's irregular deacetylation breaking the regular hydrogen-bond register cellulose relies on, so solubility rises but crystallinity falls. Cellulose's own chain-scale structure is in Fig. 4.</w:t>
      </w:r>
    </w:p>
    <w:p>
      <w:pPr>
        <w:pStyle w:val="Heading2"/>
      </w:pPr>
      <w:r>
        <w:t>3.2 Polyesters: PHA and PLA</w:t>
      </w:r>
    </w:p>
    <w:p>
      <w:pPr>
        <w:keepNext/>
        <w:spacing w:after="40"/>
        <w:jc w:val="center"/>
      </w:pPr>
      <w:r>
        <w:drawing>
          <wp:inline xmlns:a="http://schemas.openxmlformats.org/drawingml/2006/main" xmlns:pic="http://schemas.openxmlformats.org/drawingml/2006/picture">
            <wp:extent cx="5680374" cy="1737360"/>
            <wp:docPr id="6" name="Picture 6"/>
            <wp:cNvGraphicFramePr>
              <a:graphicFrameLocks noChangeAspect="1"/>
            </wp:cNvGraphicFramePr>
            <a:graphic>
              <a:graphicData uri="http://schemas.openxmlformats.org/drawingml/2006/picture">
                <pic:pic>
                  <pic:nvPicPr>
                    <pic:cNvPr id="0" name="fig_polyester_structures.png"/>
                    <pic:cNvPicPr/>
                  </pic:nvPicPr>
                  <pic:blipFill>
                    <a:blip r:embed="rId14"/>
                    <a:stretch>
                      <a:fillRect/>
                    </a:stretch>
                  </pic:blipFill>
                  <pic:spPr>
                    <a:xfrm>
                      <a:off x="0" y="0"/>
                      <a:ext cx="5680374" cy="1737360"/>
                    </a:xfrm>
                    <a:prstGeom prst="rect"/>
                  </pic:spPr>
                </pic:pic>
              </a:graphicData>
            </a:graphic>
          </wp:inline>
        </w:drawing>
      </w:r>
    </w:p>
    <w:p>
      <w:pPr>
        <w:spacing w:line="240" w:lineRule="auto" w:after="80"/>
        <w:jc w:val="center"/>
      </w:pPr>
      <w:r>
        <w:rPr>
          <w:i/>
          <w:sz w:val="20"/>
        </w:rPr>
        <w:t>Figure 6. Polyester structure: (a) PHB and (b) PLLA repeat units (drawn by the authors with RDKit from verified SMILES; (R)/(S) marked because the chiral centre is not adjacent to a chain end), and (c) PHA/PLA helical packing (PHB 2₁, PLLA 10₃ helices) — a helix that crystallises but still melts, unlike cellulose's hydrogen-bonded ribbon, which decomposes first.</w:t>
      </w:r>
    </w:p>
    <w:p>
      <w:pPr>
        <w:jc w:val="both"/>
      </w:pPr>
      <w:r>
        <w:rPr>
          <w:b/>
          <w:i w:val="0"/>
        </w:rPr>
        <w:t>PHA</w:t>
      </w:r>
      <w:r>
        <w:rPr>
          <w:b w:val="0"/>
          <w:i w:val="0"/>
        </w:rPr>
        <w:t xml:space="preserve"> (bacterial storage granules; PHB the archetype) is highly crystalline (55–70%) but decomposes by six-membered-ring </w:t>
      </w:r>
      <w:r>
        <w:rPr>
          <w:i/>
        </w:rPr>
        <w:t>cis</w:t>
      </w:r>
      <w:r>
        <w:rPr>
          <w:b w:val="0"/>
          <w:i w:val="0"/>
        </w:rPr>
        <w:t xml:space="preserve">-elimination only tens of degrees above Tm [5] — the narrowest processing window here; PHBV/PHBHHx copolymers widen it at the cost of stiffness. </w:t>
      </w:r>
      <w:r>
        <w:rPr>
          <w:b/>
          <w:i w:val="0"/>
        </w:rPr>
        <w:t>PLA</w:t>
      </w:r>
      <w:r>
        <w:rPr>
          <w:b w:val="0"/>
          <w:i w:val="0"/>
        </w:rPr>
        <w:t>: ring-opening polymerisation of lactide by a Sn(Oct)₂ coordination–insertion mechanism [40,41] reaches useful MW where polycondensation cannot; PLLA crystallises slowly, but the PLLA/PDLA stereocomplex co-crystallises ~50 °C above either homocrystal through tighter enantiomeric packing [6,7]. PBS and PEF follow the same ester logic (§8).</w:t>
      </w:r>
    </w:p>
    <w:p>
      <w:pPr>
        <w:pStyle w:val="Heading2"/>
      </w:pPr>
      <w:r>
        <w:t>3.3 Protein-based Polymers</w:t>
      </w:r>
    </w:p>
    <w:p>
      <w:pPr>
        <w:keepNext/>
        <w:spacing w:after="40"/>
        <w:jc w:val="center"/>
      </w:pPr>
      <w:r>
        <w:drawing>
          <wp:inline xmlns:a="http://schemas.openxmlformats.org/drawingml/2006/main" xmlns:pic="http://schemas.openxmlformats.org/drawingml/2006/picture">
            <wp:extent cx="4616479" cy="1737360"/>
            <wp:docPr id="7" name="Picture 7"/>
            <wp:cNvGraphicFramePr>
              <a:graphicFrameLocks noChangeAspect="1"/>
            </wp:cNvGraphicFramePr>
            <a:graphic>
              <a:graphicData uri="http://schemas.openxmlformats.org/drawingml/2006/picture">
                <pic:pic>
                  <pic:nvPicPr>
                    <pic:cNvPr id="0" name="fig_protein_structures.png"/>
                    <pic:cNvPicPr/>
                  </pic:nvPicPr>
                  <pic:blipFill>
                    <a:blip r:embed="rId15"/>
                    <a:stretch>
                      <a:fillRect/>
                    </a:stretch>
                  </pic:blipFill>
                  <pic:spPr>
                    <a:xfrm>
                      <a:off x="0" y="0"/>
                      <a:ext cx="4616479" cy="1737360"/>
                    </a:xfrm>
                    <a:prstGeom prst="rect"/>
                  </pic:spPr>
                </pic:pic>
              </a:graphicData>
            </a:graphic>
          </wp:inline>
        </w:drawing>
      </w:r>
    </w:p>
    <w:p>
      <w:pPr>
        <w:spacing w:line="240" w:lineRule="auto" w:after="80"/>
        <w:jc w:val="center"/>
      </w:pPr>
      <w:r>
        <w:rPr>
          <w:i/>
          <w:sz w:val="20"/>
        </w:rPr>
        <w:t>Figure 7. Protein structure, drawn by the authors: (a) silk fibroin's (Gly-Ala)ₙ and (b) collagen's Gly-Pro-Hyp backbone repeat units (RDKit); (c) silk's antiparallel β-sheet nanocrystallites (2–4 nm, hydrogen-bonded, dispersed in a compliant amorphous matrix — the source of silk's combined strength and toughness); (d) collagen's Gly-X-Y triple helix, in which glycine at every third position is the only residue small enough for the crowded core.</w:t>
      </w:r>
    </w:p>
    <w:p>
      <w:pPr>
        <w:jc w:val="both"/>
      </w:pPr>
      <w:r>
        <w:rPr>
          <w:b w:val="0"/>
          <w:i w:val="0"/>
        </w:rPr>
        <w:t xml:space="preserve">Protein properties come from sequence-directed fold, not chain packing. </w:t>
      </w:r>
      <w:r>
        <w:rPr>
          <w:b/>
          <w:i w:val="0"/>
        </w:rPr>
        <w:t>Silk fibroin</w:t>
      </w:r>
      <w:r>
        <w:rPr>
          <w:b w:val="0"/>
          <w:i w:val="0"/>
        </w:rPr>
        <w:t xml:space="preserve"> owes its rare strength–toughness combination to β-sheet nanocrystallites in a compliant amorphous matrix [8]. </w:t>
      </w:r>
      <w:r>
        <w:rPr>
          <w:b/>
          <w:i w:val="0"/>
        </w:rPr>
        <w:t>Collagen's</w:t>
      </w:r>
      <w:r>
        <w:rPr>
          <w:b w:val="0"/>
          <w:i w:val="0"/>
        </w:rPr>
        <w:t xml:space="preserve"> Gly-X-Y triple helix, stabilised by the stereoelectronic effect of hydroxyproline [45], denatures irreversibly into gelatin; zein, casein and soy are film-forming, not structural (§8). Ribosomal synthesis fixes every protein molecule's length and sequence exactly (Đ = 1.0) — unmatched by any non-templated biopolymer (§4).</w:t>
      </w:r>
    </w:p>
    <w:p>
      <w:pPr>
        <w:pStyle w:val="Heading2"/>
      </w:pPr>
      <w:r>
        <w:t>3.4 Lignin and Other Aromatics</w:t>
      </w:r>
    </w:p>
    <w:p>
      <w:pPr>
        <w:keepNext/>
        <w:spacing w:after="40"/>
        <w:jc w:val="center"/>
      </w:pPr>
      <w:r>
        <w:drawing>
          <wp:inline xmlns:a="http://schemas.openxmlformats.org/drawingml/2006/main" xmlns:pic="http://schemas.openxmlformats.org/drawingml/2006/picture">
            <wp:extent cx="5943600" cy="1188720"/>
            <wp:docPr id="8" name="Picture 8"/>
            <wp:cNvGraphicFramePr>
              <a:graphicFrameLocks noChangeAspect="1"/>
            </wp:cNvGraphicFramePr>
            <a:graphic>
              <a:graphicData uri="http://schemas.openxmlformats.org/drawingml/2006/picture">
                <pic:pic>
                  <pic:nvPicPr>
                    <pic:cNvPr id="0" name="fig_lignin_monomers.png"/>
                    <pic:cNvPicPr/>
                  </pic:nvPicPr>
                  <pic:blipFill>
                    <a:blip r:embed="rId16"/>
                    <a:stretch>
                      <a:fillRect/>
                    </a:stretch>
                  </pic:blipFill>
                  <pic:spPr>
                    <a:xfrm>
                      <a:off x="0" y="0"/>
                      <a:ext cx="5943600" cy="1188720"/>
                    </a:xfrm>
                    <a:prstGeom prst="rect"/>
                  </pic:spPr>
                </pic:pic>
              </a:graphicData>
            </a:graphic>
          </wp:inline>
        </w:drawing>
      </w:r>
    </w:p>
    <w:p>
      <w:pPr>
        <w:spacing w:line="240" w:lineRule="auto" w:after="80"/>
        <w:jc w:val="center"/>
      </w:pPr>
      <w:r>
        <w:rPr>
          <w:i/>
          <w:sz w:val="20"/>
        </w:rPr>
        <w:t>Figure 8. The three monolignol precursors, drawn by the authors with RDKit: (a) p-coumaryl alcohol (0 methoxy groups), (b) coniferyl alcohol (1), (c) sinapyl alcohol (2). Radical coupling of these gives a randomly cross-linked network with no periodic chain, so only the monomers are drawn.</w:t>
      </w:r>
    </w:p>
    <w:p>
      <w:pPr>
        <w:jc w:val="both"/>
      </w:pPr>
      <w:r>
        <w:rPr>
          <w:b w:val="0"/>
          <w:i w:val="0"/>
        </w:rPr>
        <w:t xml:space="preserve">Lignin is cellulose's counterpoint: amorphous </w:t>
      </w:r>
      <w:r>
        <w:rPr>
          <w:i/>
        </w:rPr>
        <w:t>because</w:t>
      </w:r>
      <w:r>
        <w:rPr>
          <w:b w:val="0"/>
          <w:i w:val="0"/>
        </w:rPr>
        <w:t xml:space="preserve"> irregular. Radical-coupled monolignols form a randomly cross-linked network (β-O-4 ether ~45–60% of linkages [9]) whose composition varies by species and, industrially, by extraction method — kraft, organosolv, lignosulfonate [54] — so no single "lignin" has one structure–property relationship.</w:t>
      </w:r>
    </w:p>
    <w:p>
      <w:pPr>
        <w:pStyle w:val="Heading2"/>
      </w:pPr>
      <w:r>
        <w:t>3.5 Natural Rubber</w:t>
      </w:r>
    </w:p>
    <w:p>
      <w:pPr>
        <w:keepNext/>
        <w:spacing w:after="40"/>
        <w:jc w:val="center"/>
      </w:pPr>
      <w:r>
        <w:drawing>
          <wp:inline xmlns:a="http://schemas.openxmlformats.org/drawingml/2006/main" xmlns:pic="http://schemas.openxmlformats.org/drawingml/2006/picture">
            <wp:extent cx="5943600" cy="1188720"/>
            <wp:docPr id="9" name="Picture 9"/>
            <wp:cNvGraphicFramePr>
              <a:graphicFrameLocks noChangeAspect="1"/>
            </wp:cNvGraphicFramePr>
            <a:graphic>
              <a:graphicData uri="http://schemas.openxmlformats.org/drawingml/2006/picture">
                <pic:pic>
                  <pic:nvPicPr>
                    <pic:cNvPr id="0" name="fig_rubber_monomer.png"/>
                    <pic:cNvPicPr/>
                  </pic:nvPicPr>
                  <pic:blipFill>
                    <a:blip r:embed="rId17"/>
                    <a:stretch>
                      <a:fillRect/>
                    </a:stretch>
                  </pic:blipFill>
                  <pic:spPr>
                    <a:xfrm>
                      <a:off x="0" y="0"/>
                      <a:ext cx="5943600" cy="1188720"/>
                    </a:xfrm>
                    <a:prstGeom prst="rect"/>
                  </pic:spPr>
                </pic:pic>
              </a:graphicData>
            </a:graphic>
          </wp:inline>
        </w:drawing>
      </w:r>
    </w:p>
    <w:p>
      <w:pPr>
        <w:spacing w:line="240" w:lineRule="auto" w:after="80"/>
        <w:jc w:val="center"/>
      </w:pPr>
      <w:r>
        <w:rPr>
          <w:i/>
          <w:sz w:val="20"/>
        </w:rPr>
        <w:t>Figure 9. Natural rubber's repeat unit, cis-1,4-polyisoprene (drawn by the authors with RDKit from verified SMILES). Its chain-scale strain-induced-crystallisation structure appears in the §7.3 case study, Fig. 15.</w:t>
      </w:r>
    </w:p>
    <w:p>
      <w:pPr>
        <w:jc w:val="both"/>
      </w:pPr>
      <w:r>
        <w:rPr>
          <w:b w:val="0"/>
          <w:i w:val="0"/>
        </w:rPr>
        <w:t xml:space="preserve">Natural rubber is the flexible extreme and the one exception to "crystallinity governs performance": </w:t>
      </w:r>
      <w:r>
        <w:rPr>
          <w:i/>
        </w:rPr>
        <w:t>cis</w:t>
      </w:r>
      <w:r>
        <w:rPr>
          <w:b w:val="0"/>
          <w:i w:val="0"/>
        </w:rPr>
        <w:t xml:space="preserve">-1,4-polyisoprene is amorphous at rest, but strain-induced crystallisation (SIC) self-reinforces the network under load — well documented by X-ray diffraction and largely absent in synthetic </w:t>
      </w:r>
      <w:r>
        <w:rPr>
          <w:i/>
        </w:rPr>
        <w:t>cis</w:t>
      </w:r>
      <w:r>
        <w:rPr>
          <w:b w:val="0"/>
          <w:i w:val="0"/>
        </w:rPr>
        <w:t xml:space="preserve">-polyisoprene [10]. This is not a fixed material constant: NR's molecular weight and its distribution vary measurably between </w:t>
      </w:r>
      <w:r>
        <w:rPr>
          <w:i/>
        </w:rPr>
        <w:t>Hevea</w:t>
      </w:r>
      <w:r>
        <w:rPr>
          <w:b w:val="0"/>
          <w:i w:val="0"/>
        </w:rPr>
        <w:t xml:space="preserve"> clones and with tree age [19], and non-rubber protein/gel content is an active, clone-dependent contributor to the network, not an incidental impurity [18]. The organising variable is therefore not crystallinity but </w:t>
      </w:r>
      <w:r>
        <w:rPr>
          <w:i/>
        </w:rPr>
        <w:t>intermolecular architecture under the conditions of use</w:t>
      </w:r>
      <w:r>
        <w:rPr>
          <w:b w:val="0"/>
          <w:i w:val="0"/>
        </w:rPr>
        <w:t xml:space="preserve"> — tested directly against a synthetic analogue in §7.3.</w:t>
      </w:r>
    </w:p>
    <w:p>
      <w:pPr>
        <w:spacing w:line="240" w:lineRule="auto" w:after="40"/>
      </w:pPr>
      <w:r>
        <w:rPr>
          <w:b/>
          <w:i w:val="0"/>
          <w:sz w:val="20"/>
        </w:rPr>
        <w:t>Table 2.</w:t>
      </w:r>
      <w:r>
        <w:rPr>
          <w:b w:val="0"/>
          <w:i w:val="0"/>
          <w:sz w:val="20"/>
        </w:rPr>
        <w:t xml:space="preserve"> Provisional summary of thermal and mechanical properties of the representative biopolymers discussed in §3 (order-of-magnitude ranges, cross-checked against the comparative review of biobased thermoplastics by de Beukelaer et al. [11], for PBS against Aliotta et al. [12], and for PLA against Auras et al. [42] and Farah et al. [43]; Td is the TGA onset of significant mass loss under N₂; "–" = no melting transition; per-row sources in </w:t>
      </w:r>
      <w:r>
        <w:rPr>
          <w:rFonts w:ascii="Consolas" w:hAnsi="Consolas"/>
          <w:i/>
          <w:sz w:val="20"/>
        </w:rPr>
        <w:t>figures/data/*.csv</w:t>
      </w:r>
      <w:r>
        <w:rPr>
          <w:b w:val="0"/>
          <w:i w:val="0"/>
          <w:sz w:val="20"/>
        </w:rPr>
        <w:t>).</w:t>
      </w:r>
    </w:p>
    <w:tbl>
      <w:tblPr>
        <w:tblW w:type="auto" w:w="0"/>
        <w:jc w:val="center"/>
        <w:tblLayout w:type="fixed"/>
        <w:tblLook w:firstColumn="1" w:firstRow="1" w:lastColumn="0" w:lastRow="0" w:noHBand="0" w:noVBand="1" w:val="04A0"/>
        <w:tblLayout w:type="fixed"/>
      </w:tblPr>
      <w:tblGrid>
        <w:gridCol w:w="2211"/>
        <w:gridCol w:w="1017"/>
        <w:gridCol w:w="1017"/>
        <w:gridCol w:w="1151"/>
        <w:gridCol w:w="1738"/>
        <w:gridCol w:w="1792"/>
      </w:tblGrid>
      <w:tr>
        <w:tc>
          <w:tcPr>
            <w:tcW w:type="dxa" w:w="2212"/>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1017"/>
            <w:tcBorders>
              <w:top w:val="single" w:sz="8" w:space="0" w:color="000000"/>
              <w:bottom w:val="single" w:sz="8" w:space="0" w:color="000000"/>
            </w:tcBorders>
          </w:tcPr>
          <w:p>
            <w:pPr>
              <w:spacing w:after="10" w:before="10" w:line="240" w:lineRule="auto"/>
            </w:pPr>
            <w:r>
              <w:rPr>
                <w:rFonts w:ascii="Arial" w:hAnsi="Arial"/>
                <w:b/>
                <w:i w:val="0"/>
                <w:sz w:val="16"/>
              </w:rPr>
              <w:t>Tg (°C)</w:t>
            </w:r>
          </w:p>
        </w:tc>
        <w:tc>
          <w:tcPr>
            <w:tcW w:type="dxa" w:w="1017"/>
            <w:tcBorders>
              <w:top w:val="single" w:sz="8" w:space="0" w:color="000000"/>
              <w:bottom w:val="single" w:sz="8" w:space="0" w:color="000000"/>
            </w:tcBorders>
          </w:tcPr>
          <w:p>
            <w:pPr>
              <w:spacing w:after="10" w:before="10" w:line="240" w:lineRule="auto"/>
            </w:pPr>
            <w:r>
              <w:rPr>
                <w:rFonts w:ascii="Arial" w:hAnsi="Arial"/>
                <w:b/>
                <w:i w:val="0"/>
                <w:sz w:val="16"/>
              </w:rPr>
              <w:t>Tm (°C)</w:t>
            </w:r>
          </w:p>
        </w:tc>
        <w:tc>
          <w:tcPr>
            <w:tcW w:type="dxa" w:w="1151"/>
            <w:tcBorders>
              <w:top w:val="single" w:sz="8" w:space="0" w:color="000000"/>
              <w:bottom w:val="single" w:sz="8" w:space="0" w:color="000000"/>
            </w:tcBorders>
          </w:tcPr>
          <w:p>
            <w:pPr>
              <w:spacing w:after="10" w:before="10" w:line="240" w:lineRule="auto"/>
            </w:pPr>
            <w:r>
              <w:rPr>
                <w:rFonts w:ascii="Arial" w:hAnsi="Arial"/>
                <w:b/>
                <w:i w:val="0"/>
                <w:sz w:val="16"/>
              </w:rPr>
              <w:t>Td onset (°C)</w:t>
            </w:r>
          </w:p>
        </w:tc>
        <w:tc>
          <w:tcPr>
            <w:tcW w:type="dxa" w:w="1739"/>
            <w:tcBorders>
              <w:top w:val="single" w:sz="8" w:space="0" w:color="000000"/>
              <w:bottom w:val="single" w:sz="8" w:space="0" w:color="000000"/>
            </w:tcBorders>
          </w:tcPr>
          <w:p>
            <w:pPr>
              <w:spacing w:after="10" w:before="10" w:line="240" w:lineRule="auto"/>
            </w:pPr>
            <w:r>
              <w:rPr>
                <w:rFonts w:ascii="Arial" w:hAnsi="Arial"/>
                <w:b/>
                <w:i w:val="0"/>
                <w:sz w:val="16"/>
              </w:rPr>
              <w:t>Modulus (GPa)</w:t>
            </w:r>
          </w:p>
        </w:tc>
        <w:tc>
          <w:tcPr>
            <w:tcW w:type="dxa" w:w="1792"/>
            <w:tcBorders>
              <w:top w:val="single" w:sz="8" w:space="0" w:color="000000"/>
              <w:bottom w:val="single" w:sz="8" w:space="0" w:color="000000"/>
            </w:tcBorders>
          </w:tcPr>
          <w:p>
            <w:pPr>
              <w:spacing w:after="10" w:before="10" w:line="240" w:lineRule="auto"/>
            </w:pPr>
            <w:r>
              <w:rPr>
                <w:rFonts w:ascii="Arial" w:hAnsi="Arial"/>
                <w:b/>
                <w:i w:val="0"/>
                <w:sz w:val="16"/>
              </w:rPr>
              <w:t>Elongation at break (%)</w:t>
            </w:r>
          </w:p>
        </w:tc>
      </w:tr>
      <w:tr>
        <w:tc>
          <w:tcPr>
            <w:tcW w:type="dxa" w:w="2212"/>
            <w:tcBorders>
              <w:top w:val="nil"/>
              <w:bottom w:val="nil"/>
            </w:tcBorders>
          </w:tcPr>
          <w:p>
            <w:pPr>
              <w:spacing w:after="10" w:before="10" w:line="240" w:lineRule="auto"/>
            </w:pPr>
            <w:r>
              <w:rPr>
                <w:rFonts w:ascii="Arial" w:hAnsi="Arial"/>
                <w:b w:val="0"/>
                <w:i w:val="0"/>
                <w:sz w:val="16"/>
              </w:rPr>
              <w:t>Cellulose (regenerated fibre)</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10–30</w:t>
            </w:r>
          </w:p>
        </w:tc>
        <w:tc>
          <w:tcPr>
            <w:tcW w:type="dxa" w:w="1792"/>
            <w:tcBorders>
              <w:top w:val="nil"/>
              <w:bottom w:val="nil"/>
            </w:tcBorders>
          </w:tcPr>
          <w:p>
            <w:pPr>
              <w:spacing w:after="10" w:before="10" w:line="240" w:lineRule="auto"/>
            </w:pPr>
            <w:r>
              <w:rPr>
                <w:rFonts w:ascii="Arial" w:hAnsi="Arial"/>
                <w:b w:val="0"/>
                <w:i w:val="0"/>
                <w:sz w:val="16"/>
              </w:rPr>
              <w:t>8–15</w:t>
            </w:r>
          </w:p>
        </w:tc>
      </w:tr>
      <w:tr>
        <w:tc>
          <w:tcPr>
            <w:tcW w:type="dxa" w:w="2212"/>
            <w:tcBorders>
              <w:top w:val="nil"/>
              <w:bottom w:val="nil"/>
            </w:tcBorders>
          </w:tcPr>
          <w:p>
            <w:pPr>
              <w:spacing w:after="10" w:before="10" w:line="240" w:lineRule="auto"/>
            </w:pPr>
            <w:r>
              <w:rPr>
                <w:rFonts w:ascii="Arial" w:hAnsi="Arial"/>
                <w:b w:val="0"/>
                <w:i w:val="0"/>
                <w:sz w:val="16"/>
              </w:rPr>
              <w:t>Thermoplastic starch</w:t>
            </w:r>
          </w:p>
        </w:tc>
        <w:tc>
          <w:tcPr>
            <w:tcW w:type="dxa" w:w="1017"/>
            <w:tcBorders>
              <w:top w:val="nil"/>
              <w:bottom w:val="nil"/>
            </w:tcBorders>
          </w:tcPr>
          <w:p>
            <w:pPr>
              <w:spacing w:after="10" w:before="10" w:line="240" w:lineRule="auto"/>
            </w:pPr>
            <w:r>
              <w:rPr>
                <w:rFonts w:ascii="Arial" w:hAnsi="Arial"/>
                <w:b w:val="0"/>
                <w:i w:val="0"/>
                <w:sz w:val="16"/>
              </w:rPr>
              <w:t>~−20</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0.02–1.0</w:t>
            </w:r>
          </w:p>
        </w:tc>
        <w:tc>
          <w:tcPr>
            <w:tcW w:type="dxa" w:w="1792"/>
            <w:tcBorders>
              <w:top w:val="nil"/>
              <w:bottom w:val="nil"/>
            </w:tcBorders>
          </w:tcPr>
          <w:p>
            <w:pPr>
              <w:spacing w:after="10" w:before="10" w:line="240" w:lineRule="auto"/>
            </w:pPr>
            <w:r>
              <w:rPr>
                <w:rFonts w:ascii="Arial" w:hAnsi="Arial"/>
                <w:b w:val="0"/>
                <w:i w:val="0"/>
                <w:sz w:val="16"/>
              </w:rPr>
              <w:t>20–100</w:t>
            </w:r>
          </w:p>
        </w:tc>
      </w:tr>
      <w:tr>
        <w:tc>
          <w:tcPr>
            <w:tcW w:type="dxa" w:w="2212"/>
            <w:tcBorders>
              <w:top w:val="nil"/>
              <w:bottom w:val="nil"/>
            </w:tcBorders>
          </w:tcPr>
          <w:p>
            <w:pPr>
              <w:spacing w:after="10" w:before="10" w:line="240" w:lineRule="auto"/>
            </w:pPr>
            <w:r>
              <w:rPr>
                <w:rFonts w:ascii="Arial" w:hAnsi="Arial"/>
                <w:b w:val="0"/>
                <w:i w:val="0"/>
                <w:sz w:val="16"/>
              </w:rPr>
              <w:t>Chitosan (film)</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~280</w:t>
            </w:r>
          </w:p>
        </w:tc>
        <w:tc>
          <w:tcPr>
            <w:tcW w:type="dxa" w:w="1739"/>
            <w:tcBorders>
              <w:top w:val="nil"/>
              <w:bottom w:val="nil"/>
            </w:tcBorders>
          </w:tcPr>
          <w:p>
            <w:pPr>
              <w:spacing w:after="10" w:before="10" w:line="240" w:lineRule="auto"/>
            </w:pPr>
            <w:r>
              <w:rPr>
                <w:rFonts w:ascii="Arial" w:hAnsi="Arial"/>
                <w:b w:val="0"/>
                <w:i w:val="0"/>
                <w:sz w:val="16"/>
              </w:rPr>
              <w:t>1.0–4.0</w:t>
            </w:r>
          </w:p>
        </w:tc>
        <w:tc>
          <w:tcPr>
            <w:tcW w:type="dxa" w:w="1792"/>
            <w:tcBorders>
              <w:top w:val="nil"/>
              <w:bottom w:val="nil"/>
            </w:tcBorders>
          </w:tcPr>
          <w:p>
            <w:pPr>
              <w:spacing w:after="10" w:before="10" w:line="240" w:lineRule="auto"/>
            </w:pPr>
            <w:r>
              <w:rPr>
                <w:rFonts w:ascii="Arial" w:hAnsi="Arial"/>
                <w:b w:val="0"/>
                <w:i w:val="0"/>
                <w:sz w:val="16"/>
              </w:rPr>
              <w:t>3–30</w:t>
            </w:r>
          </w:p>
        </w:tc>
      </w:tr>
      <w:tr>
        <w:tc>
          <w:tcPr>
            <w:tcW w:type="dxa" w:w="2212"/>
            <w:tcBorders>
              <w:top w:val="nil"/>
              <w:bottom w:val="nil"/>
            </w:tcBorders>
          </w:tcPr>
          <w:p>
            <w:pPr>
              <w:spacing w:after="10" w:before="10" w:line="240" w:lineRule="auto"/>
            </w:pPr>
            <w:r>
              <w:rPr>
                <w:rFonts w:ascii="Arial" w:hAnsi="Arial"/>
                <w:b w:val="0"/>
                <w:i w:val="0"/>
                <w:sz w:val="16"/>
              </w:rPr>
              <w:t>Silk fibroin (fibre)</w:t>
            </w:r>
          </w:p>
        </w:tc>
        <w:tc>
          <w:tcPr>
            <w:tcW w:type="dxa" w:w="1017"/>
            <w:tcBorders>
              <w:top w:val="nil"/>
              <w:bottom w:val="nil"/>
            </w:tcBorders>
          </w:tcPr>
          <w:p>
            <w:pPr>
              <w:spacing w:after="10" w:before="10" w:line="240" w:lineRule="auto"/>
            </w:pPr>
            <w:r>
              <w:rPr>
                <w:rFonts w:ascii="Arial" w:hAnsi="Arial"/>
                <w:b w:val="0"/>
                <w:i w:val="0"/>
                <w:sz w:val="16"/>
              </w:rPr>
              <w:t>~175</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5–17</w:t>
            </w:r>
          </w:p>
        </w:tc>
        <w:tc>
          <w:tcPr>
            <w:tcW w:type="dxa" w:w="1792"/>
            <w:tcBorders>
              <w:top w:val="nil"/>
              <w:bottom w:val="nil"/>
            </w:tcBorders>
          </w:tcPr>
          <w:p>
            <w:pPr>
              <w:spacing w:after="10" w:before="10" w:line="240" w:lineRule="auto"/>
            </w:pPr>
            <w:r>
              <w:rPr>
                <w:rFonts w:ascii="Arial" w:hAnsi="Arial"/>
                <w:b w:val="0"/>
                <w:i w:val="0"/>
                <w:sz w:val="16"/>
              </w:rPr>
              <w:t>15–30</w:t>
            </w:r>
          </w:p>
        </w:tc>
      </w:tr>
      <w:tr>
        <w:tc>
          <w:tcPr>
            <w:tcW w:type="dxa" w:w="2212"/>
            <w:tcBorders>
              <w:top w:val="nil"/>
              <w:bottom w:val="nil"/>
            </w:tcBorders>
          </w:tcPr>
          <w:p>
            <w:pPr>
              <w:spacing w:after="10" w:before="10" w:line="240" w:lineRule="auto"/>
            </w:pPr>
            <w:r>
              <w:rPr>
                <w:rFonts w:ascii="Arial" w:hAnsi="Arial"/>
                <w:b w:val="0"/>
                <w:i w:val="0"/>
                <w:sz w:val="16"/>
              </w:rPr>
              <w:t>PHB (PHBV lowers Tm ~30 °C)</w:t>
            </w:r>
          </w:p>
        </w:tc>
        <w:tc>
          <w:tcPr>
            <w:tcW w:type="dxa" w:w="1017"/>
            <w:tcBorders>
              <w:top w:val="nil"/>
              <w:bottom w:val="nil"/>
            </w:tcBorders>
          </w:tcPr>
          <w:p>
            <w:pPr>
              <w:spacing w:after="10" w:before="10" w:line="240" w:lineRule="auto"/>
            </w:pPr>
            <w:r>
              <w:rPr>
                <w:rFonts w:ascii="Arial" w:hAnsi="Arial"/>
                <w:b w:val="0"/>
                <w:i w:val="0"/>
                <w:sz w:val="16"/>
              </w:rPr>
              <w:t>~4</w:t>
            </w:r>
          </w:p>
        </w:tc>
        <w:tc>
          <w:tcPr>
            <w:tcW w:type="dxa" w:w="1017"/>
            <w:tcBorders>
              <w:top w:val="nil"/>
              <w:bottom w:val="nil"/>
            </w:tcBorders>
          </w:tcPr>
          <w:p>
            <w:pPr>
              <w:spacing w:after="10" w:before="10" w:line="240" w:lineRule="auto"/>
            </w:pPr>
            <w:r>
              <w:rPr>
                <w:rFonts w:ascii="Arial" w:hAnsi="Arial"/>
                <w:b w:val="0"/>
                <w:i w:val="0"/>
                <w:sz w:val="16"/>
              </w:rPr>
              <w:t>~175</w:t>
            </w:r>
          </w:p>
        </w:tc>
        <w:tc>
          <w:tcPr>
            <w:tcW w:type="dxa" w:w="1151"/>
            <w:tcBorders>
              <w:top w:val="nil"/>
              <w:bottom w:val="nil"/>
            </w:tcBorders>
          </w:tcPr>
          <w:p>
            <w:pPr>
              <w:spacing w:after="10" w:before="10" w:line="240" w:lineRule="auto"/>
            </w:pPr>
            <w:r>
              <w:rPr>
                <w:rFonts w:ascii="Arial" w:hAnsi="Arial"/>
                <w:b w:val="0"/>
                <w:i w:val="0"/>
                <w:sz w:val="16"/>
              </w:rPr>
              <w:t>~200</w:t>
            </w:r>
          </w:p>
        </w:tc>
        <w:tc>
          <w:tcPr>
            <w:tcW w:type="dxa" w:w="1739"/>
            <w:tcBorders>
              <w:top w:val="nil"/>
              <w:bottom w:val="nil"/>
            </w:tcBorders>
          </w:tcPr>
          <w:p>
            <w:pPr>
              <w:spacing w:after="10" w:before="10" w:line="240" w:lineRule="auto"/>
            </w:pPr>
            <w:r>
              <w:rPr>
                <w:rFonts w:ascii="Arial" w:hAnsi="Arial"/>
                <w:b w:val="0"/>
                <w:i w:val="0"/>
                <w:sz w:val="16"/>
              </w:rPr>
              <w:t>1.5–4.0</w:t>
            </w:r>
          </w:p>
        </w:tc>
        <w:tc>
          <w:tcPr>
            <w:tcW w:type="dxa" w:w="1792"/>
            <w:tcBorders>
              <w:top w:val="nil"/>
              <w:bottom w:val="nil"/>
            </w:tcBorders>
          </w:tcPr>
          <w:p>
            <w:pPr>
              <w:spacing w:after="10" w:before="10" w:line="240" w:lineRule="auto"/>
            </w:pPr>
            <w:r>
              <w:rPr>
                <w:rFonts w:ascii="Arial" w:hAnsi="Arial"/>
                <w:b w:val="0"/>
                <w:i w:val="0"/>
                <w:sz w:val="16"/>
              </w:rPr>
              <w:t>2–8</w:t>
            </w:r>
          </w:p>
        </w:tc>
      </w:tr>
      <w:tr>
        <w:tc>
          <w:tcPr>
            <w:tcW w:type="dxa" w:w="2212"/>
            <w:tcBorders>
              <w:top w:val="nil"/>
              <w:bottom w:val="nil"/>
            </w:tcBorders>
          </w:tcPr>
          <w:p>
            <w:pPr>
              <w:spacing w:after="10" w:before="10" w:line="240" w:lineRule="auto"/>
            </w:pPr>
            <w:r>
              <w:rPr>
                <w:rFonts w:ascii="Arial" w:hAnsi="Arial"/>
                <w:b w:val="0"/>
                <w:i w:val="0"/>
                <w:sz w:val="16"/>
              </w:rPr>
              <w:t>PLLA</w:t>
            </w:r>
          </w:p>
        </w:tc>
        <w:tc>
          <w:tcPr>
            <w:tcW w:type="dxa" w:w="1017"/>
            <w:tcBorders>
              <w:top w:val="nil"/>
              <w:bottom w:val="nil"/>
            </w:tcBorders>
          </w:tcPr>
          <w:p>
            <w:pPr>
              <w:spacing w:after="10" w:before="10" w:line="240" w:lineRule="auto"/>
            </w:pPr>
            <w:r>
              <w:rPr>
                <w:rFonts w:ascii="Arial" w:hAnsi="Arial"/>
                <w:b w:val="0"/>
                <w:i w:val="0"/>
                <w:sz w:val="16"/>
              </w:rPr>
              <w:t>~60</w:t>
            </w:r>
          </w:p>
        </w:tc>
        <w:tc>
          <w:tcPr>
            <w:tcW w:type="dxa" w:w="1017"/>
            <w:tcBorders>
              <w:top w:val="nil"/>
              <w:bottom w:val="nil"/>
            </w:tcBorders>
          </w:tcPr>
          <w:p>
            <w:pPr>
              <w:spacing w:after="10" w:before="10" w:line="240" w:lineRule="auto"/>
            </w:pPr>
            <w:r>
              <w:rPr>
                <w:rFonts w:ascii="Arial" w:hAnsi="Arial"/>
                <w:b w:val="0"/>
                <w:i w:val="0"/>
                <w:sz w:val="16"/>
              </w:rPr>
              <w:t>~175</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2.5–4.0</w:t>
            </w:r>
          </w:p>
        </w:tc>
        <w:tc>
          <w:tcPr>
            <w:tcW w:type="dxa" w:w="1792"/>
            <w:tcBorders>
              <w:top w:val="nil"/>
              <w:bottom w:val="nil"/>
            </w:tcBorders>
          </w:tcPr>
          <w:p>
            <w:pPr>
              <w:spacing w:after="10" w:before="10" w:line="240" w:lineRule="auto"/>
            </w:pPr>
            <w:r>
              <w:rPr>
                <w:rFonts w:ascii="Arial" w:hAnsi="Arial"/>
                <w:b w:val="0"/>
                <w:i w:val="0"/>
                <w:sz w:val="16"/>
              </w:rPr>
              <w:t>3–10</w:t>
            </w:r>
          </w:p>
        </w:tc>
      </w:tr>
      <w:tr>
        <w:tc>
          <w:tcPr>
            <w:tcW w:type="dxa" w:w="2212"/>
            <w:tcBorders>
              <w:top w:val="nil"/>
              <w:bottom w:val="nil"/>
            </w:tcBorders>
          </w:tcPr>
          <w:p>
            <w:pPr>
              <w:spacing w:after="10" w:before="10" w:line="240" w:lineRule="auto"/>
            </w:pPr>
            <w:r>
              <w:rPr>
                <w:rFonts w:ascii="Arial" w:hAnsi="Arial"/>
                <w:b w:val="0"/>
                <w:i w:val="0"/>
                <w:sz w:val="16"/>
              </w:rPr>
              <w:t>PBS</w:t>
            </w:r>
          </w:p>
        </w:tc>
        <w:tc>
          <w:tcPr>
            <w:tcW w:type="dxa" w:w="1017"/>
            <w:tcBorders>
              <w:top w:val="nil"/>
              <w:bottom w:val="nil"/>
            </w:tcBorders>
          </w:tcPr>
          <w:p>
            <w:pPr>
              <w:spacing w:after="10" w:before="10" w:line="240" w:lineRule="auto"/>
            </w:pPr>
            <w:r>
              <w:rPr>
                <w:rFonts w:ascii="Arial" w:hAnsi="Arial"/>
                <w:b w:val="0"/>
                <w:i w:val="0"/>
                <w:sz w:val="16"/>
              </w:rPr>
              <w:t>~−32</w:t>
            </w:r>
          </w:p>
        </w:tc>
        <w:tc>
          <w:tcPr>
            <w:tcW w:type="dxa" w:w="1017"/>
            <w:tcBorders>
              <w:top w:val="nil"/>
              <w:bottom w:val="nil"/>
            </w:tcBorders>
          </w:tcPr>
          <w:p>
            <w:pPr>
              <w:spacing w:after="10" w:before="10" w:line="240" w:lineRule="auto"/>
            </w:pPr>
            <w:r>
              <w:rPr>
                <w:rFonts w:ascii="Arial" w:hAnsi="Arial"/>
                <w:b w:val="0"/>
                <w:i w:val="0"/>
                <w:sz w:val="16"/>
              </w:rPr>
              <w:t>~114</w:t>
            </w:r>
          </w:p>
        </w:tc>
        <w:tc>
          <w:tcPr>
            <w:tcW w:type="dxa" w:w="1151"/>
            <w:tcBorders>
              <w:top w:val="nil"/>
              <w:bottom w:val="nil"/>
            </w:tcBorders>
          </w:tcPr>
          <w:p>
            <w:pPr>
              <w:spacing w:after="10" w:before="10" w:line="240" w:lineRule="auto"/>
            </w:pPr>
            <w:r>
              <w:rPr>
                <w:rFonts w:ascii="Arial" w:hAnsi="Arial"/>
                <w:b w:val="0"/>
                <w:i w:val="0"/>
                <w:sz w:val="16"/>
              </w:rPr>
              <w:t>~350</w:t>
            </w:r>
          </w:p>
        </w:tc>
        <w:tc>
          <w:tcPr>
            <w:tcW w:type="dxa" w:w="1739"/>
            <w:tcBorders>
              <w:top w:val="nil"/>
              <w:bottom w:val="nil"/>
            </w:tcBorders>
          </w:tcPr>
          <w:p>
            <w:pPr>
              <w:spacing w:after="10" w:before="10" w:line="240" w:lineRule="auto"/>
            </w:pPr>
            <w:r>
              <w:rPr>
                <w:rFonts w:ascii="Arial" w:hAnsi="Arial"/>
                <w:b w:val="0"/>
                <w:i w:val="0"/>
                <w:sz w:val="16"/>
              </w:rPr>
              <w:t>0.3–0.7</w:t>
            </w:r>
          </w:p>
        </w:tc>
        <w:tc>
          <w:tcPr>
            <w:tcW w:type="dxa" w:w="1792"/>
            <w:tcBorders>
              <w:top w:val="nil"/>
              <w:bottom w:val="nil"/>
            </w:tcBorders>
          </w:tcPr>
          <w:p>
            <w:pPr>
              <w:spacing w:after="10" w:before="10" w:line="240" w:lineRule="auto"/>
            </w:pPr>
            <w:r>
              <w:rPr>
                <w:rFonts w:ascii="Arial" w:hAnsi="Arial"/>
                <w:b w:val="0"/>
                <w:i w:val="0"/>
                <w:sz w:val="16"/>
              </w:rPr>
              <w:t>200–500</w:t>
            </w:r>
          </w:p>
        </w:tc>
      </w:tr>
      <w:tr>
        <w:tc>
          <w:tcPr>
            <w:tcW w:type="dxa" w:w="2212"/>
            <w:tcBorders>
              <w:top w:val="nil"/>
              <w:bottom w:val="nil"/>
            </w:tcBorders>
          </w:tcPr>
          <w:p>
            <w:pPr>
              <w:spacing w:after="10" w:before="10" w:line="240" w:lineRule="auto"/>
            </w:pPr>
            <w:r>
              <w:rPr>
                <w:rFonts w:ascii="Arial" w:hAnsi="Arial"/>
                <w:b w:val="0"/>
                <w:i w:val="0"/>
                <w:sz w:val="16"/>
              </w:rPr>
              <w:t>Natural rubber (vulcanised)</w:t>
            </w:r>
          </w:p>
        </w:tc>
        <w:tc>
          <w:tcPr>
            <w:tcW w:type="dxa" w:w="1017"/>
            <w:tcBorders>
              <w:top w:val="nil"/>
              <w:bottom w:val="nil"/>
            </w:tcBorders>
          </w:tcPr>
          <w:p>
            <w:pPr>
              <w:spacing w:after="10" w:before="10" w:line="240" w:lineRule="auto"/>
            </w:pPr>
            <w:r>
              <w:rPr>
                <w:rFonts w:ascii="Arial" w:hAnsi="Arial"/>
                <w:b w:val="0"/>
                <w:i w:val="0"/>
                <w:sz w:val="16"/>
              </w:rPr>
              <w:t>~−70</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w:t>
            </w:r>
          </w:p>
        </w:tc>
        <w:tc>
          <w:tcPr>
            <w:tcW w:type="dxa" w:w="1739"/>
            <w:tcBorders>
              <w:top w:val="nil"/>
              <w:bottom w:val="nil"/>
            </w:tcBorders>
          </w:tcPr>
          <w:p>
            <w:pPr>
              <w:spacing w:after="10" w:before="10" w:line="240" w:lineRule="auto"/>
            </w:pPr>
            <w:r>
              <w:rPr>
                <w:rFonts w:ascii="Arial" w:hAnsi="Arial"/>
                <w:b w:val="0"/>
                <w:i w:val="0"/>
                <w:sz w:val="16"/>
              </w:rPr>
              <w:t>0.001–0.005</w:t>
            </w:r>
          </w:p>
        </w:tc>
        <w:tc>
          <w:tcPr>
            <w:tcW w:type="dxa" w:w="1792"/>
            <w:tcBorders>
              <w:top w:val="nil"/>
              <w:bottom w:val="nil"/>
            </w:tcBorders>
          </w:tcPr>
          <w:p>
            <w:pPr>
              <w:spacing w:after="10" w:before="10" w:line="240" w:lineRule="auto"/>
            </w:pPr>
            <w:r>
              <w:rPr>
                <w:rFonts w:ascii="Arial" w:hAnsi="Arial"/>
                <w:b w:val="0"/>
                <w:i w:val="0"/>
                <w:sz w:val="16"/>
              </w:rPr>
              <w:t>500–800</w:t>
            </w:r>
          </w:p>
        </w:tc>
      </w:tr>
      <w:tr>
        <w:tc>
          <w:tcPr>
            <w:tcW w:type="dxa" w:w="2212"/>
            <w:tcBorders>
              <w:top w:val="nil"/>
              <w:bottom w:val="single" w:sz="8" w:space="0" w:color="000000"/>
            </w:tcBorders>
          </w:tcPr>
          <w:p>
            <w:pPr>
              <w:spacing w:after="10" w:before="10" w:line="240" w:lineRule="auto"/>
            </w:pPr>
            <w:r>
              <w:rPr>
                <w:rFonts w:ascii="Arial" w:hAnsi="Arial"/>
                <w:b w:val="0"/>
                <w:i w:val="0"/>
                <w:sz w:val="16"/>
              </w:rPr>
              <w:t>PET (fossil reference)</w:t>
            </w:r>
          </w:p>
        </w:tc>
        <w:tc>
          <w:tcPr>
            <w:tcW w:type="dxa" w:w="1017"/>
            <w:tcBorders>
              <w:top w:val="nil"/>
              <w:bottom w:val="single" w:sz="8" w:space="0" w:color="000000"/>
            </w:tcBorders>
          </w:tcPr>
          <w:p>
            <w:pPr>
              <w:spacing w:after="10" w:before="10" w:line="240" w:lineRule="auto"/>
            </w:pPr>
            <w:r>
              <w:rPr>
                <w:rFonts w:ascii="Arial" w:hAnsi="Arial"/>
                <w:b w:val="0"/>
                <w:i w:val="0"/>
                <w:sz w:val="16"/>
              </w:rPr>
              <w:t>~78</w:t>
            </w:r>
          </w:p>
        </w:tc>
        <w:tc>
          <w:tcPr>
            <w:tcW w:type="dxa" w:w="1017"/>
            <w:tcBorders>
              <w:top w:val="nil"/>
              <w:bottom w:val="single" w:sz="8" w:space="0" w:color="000000"/>
            </w:tcBorders>
          </w:tcPr>
          <w:p>
            <w:pPr>
              <w:spacing w:after="10" w:before="10" w:line="240" w:lineRule="auto"/>
            </w:pPr>
            <w:r>
              <w:rPr>
                <w:rFonts w:ascii="Arial" w:hAnsi="Arial"/>
                <w:b w:val="0"/>
                <w:i w:val="0"/>
                <w:sz w:val="16"/>
              </w:rPr>
              <w:t>~255</w:t>
            </w:r>
          </w:p>
        </w:tc>
        <w:tc>
          <w:tcPr>
            <w:tcW w:type="dxa" w:w="1151"/>
            <w:tcBorders>
              <w:top w:val="nil"/>
              <w:bottom w:val="single" w:sz="8" w:space="0" w:color="000000"/>
            </w:tcBorders>
          </w:tcPr>
          <w:p>
            <w:pPr>
              <w:spacing w:after="10" w:before="10" w:line="240" w:lineRule="auto"/>
            </w:pPr>
            <w:r>
              <w:rPr>
                <w:rFonts w:ascii="Arial" w:hAnsi="Arial"/>
                <w:b w:val="0"/>
                <w:i w:val="0"/>
                <w:sz w:val="16"/>
              </w:rPr>
              <w:t>~400</w:t>
            </w:r>
          </w:p>
        </w:tc>
        <w:tc>
          <w:tcPr>
            <w:tcW w:type="dxa" w:w="1739"/>
            <w:tcBorders>
              <w:top w:val="nil"/>
              <w:bottom w:val="single" w:sz="8" w:space="0" w:color="000000"/>
            </w:tcBorders>
          </w:tcPr>
          <w:p>
            <w:pPr>
              <w:spacing w:after="10" w:before="10" w:line="240" w:lineRule="auto"/>
            </w:pPr>
            <w:r>
              <w:rPr>
                <w:rFonts w:ascii="Arial" w:hAnsi="Arial"/>
                <w:b w:val="0"/>
                <w:i w:val="0"/>
                <w:sz w:val="16"/>
              </w:rPr>
              <w:t>2.0–4.0</w:t>
            </w:r>
          </w:p>
        </w:tc>
        <w:tc>
          <w:tcPr>
            <w:tcW w:type="dxa" w:w="1792"/>
            <w:tcBorders>
              <w:top w:val="nil"/>
              <w:bottom w:val="single" w:sz="8" w:space="0" w:color="000000"/>
            </w:tcBorders>
          </w:tcPr>
          <w:p>
            <w:pPr>
              <w:spacing w:after="10" w:before="10" w:line="240" w:lineRule="auto"/>
            </w:pPr>
            <w:r>
              <w:rPr>
                <w:rFonts w:ascii="Arial" w:hAnsi="Arial"/>
                <w:b w:val="0"/>
                <w:i w:val="0"/>
                <w:sz w:val="16"/>
              </w:rPr>
              <w:t>50–300</w:t>
            </w:r>
          </w:p>
        </w:tc>
      </w:tr>
    </w:tbl>
    <w:p>
      <w:pPr>
        <w:spacing w:after="0" w:line="240" w:lineRule="auto"/>
      </w:pPr>
    </w:p>
    <w:p>
      <w:pPr>
        <w:jc w:val="both"/>
      </w:pPr>
      <w:r>
        <w:rPr>
          <w:i/>
        </w:rPr>
        <w:t>All values PROVISIONAL — teaching-level ranges used to keep Fig. 11/12 and this table internally consistent; each must be replaced with a cited literature value, and matched to a stated test condition (sample form, moisture, thermal history), before submission.</w:t>
      </w:r>
    </w:p>
    <w:p>
      <w:pPr>
        <w:pStyle w:val="Heading1"/>
      </w:pPr>
      <w:r>
        <w:t>4. Molecular Weight and Its Measurement</w:t>
      </w:r>
    </w:p>
    <w:p>
      <w:pPr>
        <w:jc w:val="both"/>
      </w:pPr>
      <w:r>
        <w:rPr>
          <w:b w:val="0"/>
          <w:i w:val="0"/>
        </w:rPr>
        <w:t xml:space="preserve">Most surveys report molecular weight casually — "high molecular weight" — but the </w:t>
      </w:r>
      <w:r>
        <w:rPr>
          <w:i/>
        </w:rPr>
        <w:t>distribution</w:t>
      </w:r>
      <w:r>
        <w:rPr>
          <w:b w:val="0"/>
          <w:i w:val="0"/>
        </w:rPr>
        <w:t xml:space="preserve">, not the average, is where the biology shows. Of the standard descriptors (Mn, Mw, dispersity Đ = Mw/Mn [46], DP), Đ matters most: it, not Mn alone, sets processing behaviour and the spread of mechanical properties within a batch. </w:t>
      </w:r>
      <w:r>
        <w:rPr>
          <w:b/>
          <w:i w:val="0"/>
        </w:rPr>
        <w:t>Dispersity is a readout of synthesis mechanism, not noise</w:t>
      </w:r>
      <w:r>
        <w:rPr>
          <w:b w:val="0"/>
          <w:i w:val="0"/>
        </w:rPr>
        <w:t xml:space="preserve"> (Fig. 10): template-controlled biosynthesis gives proteins and nucleic acids Đ = 1.0 exactly, while every non-templated route — extraction (cellulose, chitosan, natural rubber) or catalysed polymerisation (PHA, PLA) — broadens the distribution in proportion to how loosely it is controlled. Natural rubber is the extreme: because it is extracted, not chain-grown, its Mw and MWD vary between </w:t>
      </w:r>
      <w:r>
        <w:rPr>
          <w:i/>
        </w:rPr>
        <w:t>Hevea</w:t>
      </w:r>
      <w:r>
        <w:rPr>
          <w:b w:val="0"/>
          <w:i w:val="0"/>
        </w:rPr>
        <w:t xml:space="preserve"> clones and with tree age [19] — an agricultural variability with no synthetic-polymer analogue.</w:t>
      </w:r>
    </w:p>
    <w:p>
      <w:pPr>
        <w:keepNext/>
        <w:spacing w:after="40"/>
        <w:jc w:val="center"/>
      </w:pPr>
      <w:r>
        <w:drawing>
          <wp:inline xmlns:a="http://schemas.openxmlformats.org/drawingml/2006/main" xmlns:pic="http://schemas.openxmlformats.org/drawingml/2006/picture">
            <wp:extent cx="4548868" cy="2194560"/>
            <wp:docPr id="10" name="Picture 10"/>
            <wp:cNvGraphicFramePr>
              <a:graphicFrameLocks noChangeAspect="1"/>
            </wp:cNvGraphicFramePr>
            <a:graphic>
              <a:graphicData uri="http://schemas.openxmlformats.org/drawingml/2006/picture">
                <pic:pic>
                  <pic:nvPicPr>
                    <pic:cNvPr id="0" name="fig9_dispersity.png"/>
                    <pic:cNvPicPr/>
                  </pic:nvPicPr>
                  <pic:blipFill>
                    <a:blip r:embed="rId18"/>
                    <a:stretch>
                      <a:fillRect/>
                    </a:stretch>
                  </pic:blipFill>
                  <pic:spPr>
                    <a:xfrm>
                      <a:off x="0" y="0"/>
                      <a:ext cx="4548868" cy="2194560"/>
                    </a:xfrm>
                    <a:prstGeom prst="rect"/>
                  </pic:spPr>
                </pic:pic>
              </a:graphicData>
            </a:graphic>
          </wp:inline>
        </w:drawing>
      </w:r>
    </w:p>
    <w:p>
      <w:pPr>
        <w:spacing w:line="240" w:lineRule="auto" w:after="80"/>
        <w:jc w:val="center"/>
      </w:pPr>
      <w:r>
        <w:rPr>
          <w:i/>
          <w:sz w:val="20"/>
        </w:rPr>
        <w:t>Figure 10. Dispersity Đ across families on a common axis: a point at Đ=1 for templated biosynthesis, ranges for PLA/PHA/chitosan/cellulose, an open-ended arrow for natural rubber's unquantified variability</w:t>
      </w:r>
    </w:p>
    <w:p>
      <w:pPr>
        <w:jc w:val="both"/>
      </w:pPr>
      <w:r>
        <w:rPr>
          <w:b/>
          <w:i w:val="0"/>
        </w:rPr>
        <w:t>Why molecular weight controls performance.</w:t>
      </w:r>
      <w:r>
        <w:rPr>
          <w:b w:val="0"/>
          <w:i w:val="0"/>
        </w:rPr>
        <w:t xml:space="preserve"> Mechanical integrity depends on chain entanglement above a characteristic Mc [48]; below it, strength and toughness collapse. Above Mc, tensile strength rises with Mn then saturates (Flory-type, σ ≈ σ∞ − K/Mn) [47], so degradation — first seen as falling MW — causes only modest property loss until it crosses back below Mc, where performance collapses abruptly (relevant to §7–§8). </w:t>
      </w:r>
      <w:r>
        <w:rPr>
          <w:b/>
          <w:i w:val="0"/>
        </w:rPr>
        <w:t>Measuring</w:t>
      </w:r>
      <w:r>
        <w:rPr>
          <w:b w:val="0"/>
          <w:i w:val="0"/>
        </w:rPr>
        <w:t xml:space="preserve"> biopolymer MW is also harder: cellulose dissolves in no standard SEC eluent, needing derivatisation or aggressive solvents, and aggregation and branching distort SEC calibrated against linear standards. SEC-MALS or Mark–Houwink viscometry are more defensible, but Mark–Houwink parameters are missing for many biopolymer/solvent pairs. Reported MW for one material therefore often spans an order of magnitude in the literature — an artefact of method more than real variation, so a MW figure is only comparable alongside its method.</w:t>
      </w:r>
    </w:p>
    <w:p>
      <w:pPr>
        <w:spacing w:line="240" w:lineRule="auto" w:after="40"/>
      </w:pPr>
      <w:r>
        <w:rPr>
          <w:b/>
          <w:i w:val="0"/>
          <w:sz w:val="20"/>
        </w:rPr>
        <w:t>Table 3.</w:t>
      </w:r>
      <w:r>
        <w:rPr>
          <w:b w:val="0"/>
          <w:i w:val="0"/>
          <w:sz w:val="20"/>
        </w:rPr>
        <w:t xml:space="preserve"> Typical number-average molecular weight for representative biopolymers, with the standard method by which each is measured (dispersity Đ is plotted in Fig. 10 instead of repeated here).</w:t>
      </w:r>
    </w:p>
    <w:tbl>
      <w:tblPr>
        <w:tblW w:type="auto" w:w="0"/>
        <w:jc w:val="center"/>
        <w:tblLayout w:type="fixed"/>
        <w:tblLook w:firstColumn="1" w:firstRow="1" w:lastColumn="0" w:lastRow="0" w:noHBand="0" w:noVBand="1" w:val="04A0"/>
        <w:tblLayout w:type="fixed"/>
      </w:tblPr>
      <w:tblGrid>
        <w:gridCol w:w="2692"/>
        <w:gridCol w:w="2654"/>
        <w:gridCol w:w="3581"/>
      </w:tblGrid>
      <w:tr>
        <w:tc>
          <w:tcPr>
            <w:tcW w:type="dxa" w:w="2692"/>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2654"/>
            <w:tcBorders>
              <w:top w:val="single" w:sz="8" w:space="0" w:color="000000"/>
              <w:bottom w:val="single" w:sz="8" w:space="0" w:color="000000"/>
            </w:tcBorders>
          </w:tcPr>
          <w:p>
            <w:pPr>
              <w:spacing w:after="10" w:before="10" w:line="240" w:lineRule="auto"/>
            </w:pPr>
            <w:r>
              <w:rPr>
                <w:rFonts w:ascii="Arial" w:hAnsi="Arial"/>
                <w:b/>
                <w:i w:val="0"/>
                <w:sz w:val="16"/>
              </w:rPr>
              <w:t>Typical Mn</w:t>
            </w:r>
          </w:p>
        </w:tc>
        <w:tc>
          <w:tcPr>
            <w:tcW w:type="dxa" w:w="3582"/>
            <w:tcBorders>
              <w:top w:val="single" w:sz="8" w:space="0" w:color="000000"/>
              <w:bottom w:val="single" w:sz="8" w:space="0" w:color="000000"/>
            </w:tcBorders>
          </w:tcPr>
          <w:p>
            <w:pPr>
              <w:spacing w:after="10" w:before="10" w:line="240" w:lineRule="auto"/>
            </w:pPr>
            <w:r>
              <w:rPr>
                <w:rFonts w:ascii="Arial" w:hAnsi="Arial"/>
                <w:b/>
                <w:i w:val="0"/>
                <w:sz w:val="16"/>
              </w:rPr>
              <w:t>Standard method (key limitation)</w:t>
            </w:r>
          </w:p>
        </w:tc>
      </w:tr>
      <w:tr>
        <w:tc>
          <w:tcPr>
            <w:tcW w:type="dxa" w:w="2692"/>
            <w:tcBorders>
              <w:top w:val="nil"/>
              <w:bottom w:val="nil"/>
            </w:tcBorders>
          </w:tcPr>
          <w:p>
            <w:pPr>
              <w:spacing w:after="10" w:before="10" w:line="240" w:lineRule="auto"/>
            </w:pPr>
            <w:r>
              <w:rPr>
                <w:rFonts w:ascii="Arial" w:hAnsi="Arial"/>
                <w:b w:val="0"/>
                <w:i w:val="0"/>
                <w:sz w:val="16"/>
              </w:rPr>
              <w:t>Proteins / DNA / RNA</w:t>
            </w:r>
          </w:p>
        </w:tc>
        <w:tc>
          <w:tcPr>
            <w:tcW w:type="dxa" w:w="2654"/>
            <w:tcBorders>
              <w:top w:val="nil"/>
              <w:bottom w:val="nil"/>
            </w:tcBorders>
          </w:tcPr>
          <w:p>
            <w:pPr>
              <w:spacing w:after="10" w:before="10" w:line="240" w:lineRule="auto"/>
            </w:pPr>
            <w:r>
              <w:rPr>
                <w:rFonts w:ascii="Arial" w:hAnsi="Arial"/>
                <w:b w:val="0"/>
                <w:i w:val="0"/>
                <w:sz w:val="16"/>
              </w:rPr>
              <w:t>sequence-specific</w:t>
            </w:r>
          </w:p>
        </w:tc>
        <w:tc>
          <w:tcPr>
            <w:tcW w:type="dxa" w:w="3582"/>
            <w:tcBorders>
              <w:top w:val="nil"/>
              <w:bottom w:val="nil"/>
            </w:tcBorders>
          </w:tcPr>
          <w:p>
            <w:pPr>
              <w:spacing w:after="10" w:before="10" w:line="240" w:lineRule="auto"/>
            </w:pPr>
            <w:r>
              <w:rPr>
                <w:rFonts w:ascii="Arial" w:hAnsi="Arial"/>
                <w:b w:val="0"/>
                <w:i w:val="0"/>
                <w:sz w:val="16"/>
              </w:rPr>
              <w:t>mass spectrometry (none — templated)</w:t>
            </w:r>
          </w:p>
        </w:tc>
      </w:tr>
      <w:tr>
        <w:tc>
          <w:tcPr>
            <w:tcW w:type="dxa" w:w="2692"/>
            <w:tcBorders>
              <w:top w:val="nil"/>
              <w:bottom w:val="nil"/>
            </w:tcBorders>
          </w:tcPr>
          <w:p>
            <w:pPr>
              <w:spacing w:after="10" w:before="10" w:line="240" w:lineRule="auto"/>
            </w:pPr>
            <w:r>
              <w:rPr>
                <w:rFonts w:ascii="Arial" w:hAnsi="Arial"/>
                <w:b w:val="0"/>
                <w:i w:val="0"/>
                <w:sz w:val="16"/>
              </w:rPr>
              <w:t>Cellulose (native/Lyocell)</w:t>
            </w:r>
          </w:p>
        </w:tc>
        <w:tc>
          <w:tcPr>
            <w:tcW w:type="dxa" w:w="2654"/>
            <w:tcBorders>
              <w:top w:val="nil"/>
              <w:bottom w:val="nil"/>
            </w:tcBorders>
          </w:tcPr>
          <w:p>
            <w:pPr>
              <w:spacing w:after="10" w:before="10" w:line="240" w:lineRule="auto"/>
            </w:pPr>
            <w:r>
              <w:rPr>
                <w:rFonts w:ascii="Arial" w:hAnsi="Arial"/>
                <w:b w:val="0"/>
                <w:i w:val="0"/>
                <w:sz w:val="16"/>
              </w:rPr>
              <w:t>10⁴–10⁶ g mol⁻¹</w:t>
            </w:r>
          </w:p>
        </w:tc>
        <w:tc>
          <w:tcPr>
            <w:tcW w:type="dxa" w:w="3582"/>
            <w:tcBorders>
              <w:top w:val="nil"/>
              <w:bottom w:val="nil"/>
            </w:tcBorders>
          </w:tcPr>
          <w:p>
            <w:pPr>
              <w:spacing w:after="10" w:before="10" w:line="240" w:lineRule="auto"/>
            </w:pPr>
            <w:r>
              <w:rPr>
                <w:rFonts w:ascii="Arial" w:hAnsi="Arial"/>
                <w:b w:val="0"/>
                <w:i w:val="0"/>
                <w:sz w:val="16"/>
              </w:rPr>
              <w:t>viscometry/SEC-MALS after derivatisation (insoluble in std. eluents)</w:t>
            </w:r>
          </w:p>
        </w:tc>
      </w:tr>
      <w:tr>
        <w:tc>
          <w:tcPr>
            <w:tcW w:type="dxa" w:w="2692"/>
            <w:tcBorders>
              <w:top w:val="nil"/>
              <w:bottom w:val="nil"/>
            </w:tcBorders>
          </w:tcPr>
          <w:p>
            <w:pPr>
              <w:spacing w:after="10" w:before="10" w:line="240" w:lineRule="auto"/>
            </w:pPr>
            <w:r>
              <w:rPr>
                <w:rFonts w:ascii="Arial" w:hAnsi="Arial"/>
                <w:b w:val="0"/>
                <w:i w:val="0"/>
                <w:sz w:val="16"/>
              </w:rPr>
              <w:t>Chitosan</w:t>
            </w:r>
          </w:p>
        </w:tc>
        <w:tc>
          <w:tcPr>
            <w:tcW w:type="dxa" w:w="2654"/>
            <w:tcBorders>
              <w:top w:val="nil"/>
              <w:bottom w:val="nil"/>
            </w:tcBorders>
          </w:tcPr>
          <w:p>
            <w:pPr>
              <w:spacing w:after="10" w:before="10" w:line="240" w:lineRule="auto"/>
            </w:pPr>
            <w:r>
              <w:rPr>
                <w:rFonts w:ascii="Arial" w:hAnsi="Arial"/>
                <w:b w:val="0"/>
                <w:i w:val="0"/>
                <w:sz w:val="16"/>
              </w:rPr>
              <w:t>10⁴–10⁶ g mol⁻¹</w:t>
            </w:r>
          </w:p>
        </w:tc>
        <w:tc>
          <w:tcPr>
            <w:tcW w:type="dxa" w:w="3582"/>
            <w:tcBorders>
              <w:top w:val="nil"/>
              <w:bottom w:val="nil"/>
            </w:tcBorders>
          </w:tcPr>
          <w:p>
            <w:pPr>
              <w:spacing w:after="10" w:before="10" w:line="240" w:lineRule="auto"/>
            </w:pPr>
            <w:r>
              <w:rPr>
                <w:rFonts w:ascii="Arial" w:hAnsi="Arial"/>
                <w:b w:val="0"/>
                <w:i w:val="0"/>
                <w:sz w:val="16"/>
              </w:rPr>
              <w:t>intrinsic viscosity (DD/MW trade-off, §3.1)</w:t>
            </w:r>
          </w:p>
        </w:tc>
      </w:tr>
      <w:tr>
        <w:tc>
          <w:tcPr>
            <w:tcW w:type="dxa" w:w="2692"/>
            <w:tcBorders>
              <w:top w:val="nil"/>
              <w:bottom w:val="nil"/>
            </w:tcBorders>
          </w:tcPr>
          <w:p>
            <w:pPr>
              <w:spacing w:after="10" w:before="10" w:line="240" w:lineRule="auto"/>
            </w:pPr>
            <w:r>
              <w:rPr>
                <w:rFonts w:ascii="Arial" w:hAnsi="Arial"/>
                <w:b w:val="0"/>
                <w:i w:val="0"/>
                <w:sz w:val="16"/>
              </w:rPr>
              <w:t>PHA (PHB/PHBV)</w:t>
            </w:r>
          </w:p>
        </w:tc>
        <w:tc>
          <w:tcPr>
            <w:tcW w:type="dxa" w:w="2654"/>
            <w:tcBorders>
              <w:top w:val="nil"/>
              <w:bottom w:val="nil"/>
            </w:tcBorders>
          </w:tcPr>
          <w:p>
            <w:pPr>
              <w:spacing w:after="10" w:before="10" w:line="240" w:lineRule="auto"/>
            </w:pPr>
            <w:r>
              <w:rPr>
                <w:rFonts w:ascii="Arial" w:hAnsi="Arial"/>
                <w:b w:val="0"/>
                <w:i w:val="0"/>
                <w:sz w:val="16"/>
              </w:rPr>
              <w:t>10⁵–10⁶ g mol⁻¹</w:t>
            </w:r>
          </w:p>
        </w:tc>
        <w:tc>
          <w:tcPr>
            <w:tcW w:type="dxa" w:w="3582"/>
            <w:tcBorders>
              <w:top w:val="nil"/>
              <w:bottom w:val="nil"/>
            </w:tcBorders>
          </w:tcPr>
          <w:p>
            <w:pPr>
              <w:spacing w:after="10" w:before="10" w:line="240" w:lineRule="auto"/>
            </w:pPr>
            <w:r>
              <w:rPr>
                <w:rFonts w:ascii="Arial" w:hAnsi="Arial"/>
                <w:b w:val="0"/>
                <w:i w:val="0"/>
                <w:sz w:val="16"/>
              </w:rPr>
              <w:t>GPC/SEC vs polystyrene (calibration mismatch)</w:t>
            </w:r>
          </w:p>
        </w:tc>
      </w:tr>
      <w:tr>
        <w:tc>
          <w:tcPr>
            <w:tcW w:type="dxa" w:w="2692"/>
            <w:tcBorders>
              <w:top w:val="nil"/>
              <w:bottom w:val="nil"/>
            </w:tcBorders>
          </w:tcPr>
          <w:p>
            <w:pPr>
              <w:spacing w:after="10" w:before="10" w:line="240" w:lineRule="auto"/>
            </w:pPr>
            <w:r>
              <w:rPr>
                <w:rFonts w:ascii="Arial" w:hAnsi="Arial"/>
                <w:b w:val="0"/>
                <w:i w:val="0"/>
                <w:sz w:val="16"/>
              </w:rPr>
              <w:t>PLA</w:t>
            </w:r>
          </w:p>
        </w:tc>
        <w:tc>
          <w:tcPr>
            <w:tcW w:type="dxa" w:w="2654"/>
            <w:tcBorders>
              <w:top w:val="nil"/>
              <w:bottom w:val="nil"/>
            </w:tcBorders>
          </w:tcPr>
          <w:p>
            <w:pPr>
              <w:spacing w:after="10" w:before="10" w:line="240" w:lineRule="auto"/>
            </w:pPr>
            <w:r>
              <w:rPr>
                <w:rFonts w:ascii="Arial" w:hAnsi="Arial"/>
                <w:b w:val="0"/>
                <w:i w:val="0"/>
                <w:sz w:val="16"/>
              </w:rPr>
              <w:t>10⁴–10⁵ g mol⁻¹</w:t>
            </w:r>
          </w:p>
        </w:tc>
        <w:tc>
          <w:tcPr>
            <w:tcW w:type="dxa" w:w="3582"/>
            <w:tcBorders>
              <w:top w:val="nil"/>
              <w:bottom w:val="nil"/>
            </w:tcBorders>
          </w:tcPr>
          <w:p>
            <w:pPr>
              <w:spacing w:after="10" w:before="10" w:line="240" w:lineRule="auto"/>
            </w:pPr>
            <w:r>
              <w:rPr>
                <w:rFonts w:ascii="Arial" w:hAnsi="Arial"/>
                <w:b w:val="0"/>
                <w:i w:val="0"/>
                <w:sz w:val="16"/>
              </w:rPr>
              <w:t>GPC/SEC (moisture-driven hydrolysis in process)</w:t>
            </w:r>
          </w:p>
        </w:tc>
      </w:tr>
      <w:tr>
        <w:tc>
          <w:tcPr>
            <w:tcW w:type="dxa" w:w="2692"/>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2654"/>
            <w:tcBorders>
              <w:top w:val="nil"/>
              <w:bottom w:val="single" w:sz="8" w:space="0" w:color="000000"/>
            </w:tcBorders>
          </w:tcPr>
          <w:p>
            <w:pPr>
              <w:spacing w:after="10" w:before="10" w:line="240" w:lineRule="auto"/>
            </w:pPr>
            <w:r>
              <w:rPr>
                <w:rFonts w:ascii="Arial" w:hAnsi="Arial"/>
                <w:b w:val="0"/>
                <w:i w:val="0"/>
                <w:sz w:val="16"/>
              </w:rPr>
              <w:t>often &gt;10⁶ g mol⁻¹</w:t>
            </w:r>
          </w:p>
        </w:tc>
        <w:tc>
          <w:tcPr>
            <w:tcW w:type="dxa" w:w="3582"/>
            <w:tcBorders>
              <w:top w:val="nil"/>
              <w:bottom w:val="single" w:sz="8" w:space="0" w:color="000000"/>
            </w:tcBorders>
          </w:tcPr>
          <w:p>
            <w:pPr>
              <w:spacing w:after="10" w:before="10" w:line="240" w:lineRule="auto"/>
            </w:pPr>
            <w:r>
              <w:rPr>
                <w:rFonts w:ascii="Arial" w:hAnsi="Arial"/>
                <w:b w:val="0"/>
                <w:i w:val="0"/>
                <w:sz w:val="16"/>
              </w:rPr>
              <w:t>intrinsic viscosity (no synthetic analogue)</w:t>
            </w:r>
          </w:p>
        </w:tc>
      </w:tr>
    </w:tbl>
    <w:p>
      <w:pPr>
        <w:spacing w:after="0" w:line="240" w:lineRule="auto"/>
      </w:pPr>
    </w:p>
    <w:p>
      <w:pPr>
        <w:jc w:val="both"/>
      </w:pPr>
      <w:r>
        <w:rPr>
          <w:i/>
        </w:rPr>
        <w:t>Mn ranges are teaching-level approximations; confirm each against a primary source before submission. The method column and its limitations are supported by refs [39,46] and the SEC/MALS discussion in §4.</w:t>
      </w:r>
    </w:p>
    <w:p>
      <w:pPr>
        <w:pStyle w:val="Heading1"/>
      </w:pPr>
      <w:r>
        <w:t>5. General Property Patterns</w:t>
      </w:r>
    </w:p>
    <w:p>
      <w:pPr>
        <w:jc w:val="both"/>
      </w:pPr>
      <w:r>
        <w:rPr>
          <w:b w:val="0"/>
          <w:i w:val="0"/>
        </w:rPr>
        <w:t>Section 3 examined each family in turn; this section turns the same evidence sideways to ask what holds across all of them.</w:t>
      </w:r>
    </w:p>
    <w:p>
      <w:pPr>
        <w:pStyle w:val="Heading2"/>
      </w:pPr>
      <w:r>
        <w:t>5.1 Thermal Behaviour</w:t>
      </w:r>
    </w:p>
    <w:p>
      <w:pPr>
        <w:jc w:val="both"/>
      </w:pPr>
      <w:r>
        <w:rPr>
          <w:b w:val="0"/>
          <w:i w:val="0"/>
        </w:rPr>
        <w:t>A decomposition temperature at or below the melting point is close to the rule (Fig. 11): the same network that gives stiffness raises the melting energy toward the bond-breaking energy, crowding the two transitions — cellulose, chitosan and silk fibroin never melt at all. Among the polyesters the crowding is quantitative: PHB's window is only ~25 °C, PHBV's ~55 °C, PLLA's wider still [44]. Fig. 11 plots the TGA onset, so the usable window for PLLA and PHB is narrower still, since melt hydrolysis (§4) sets in earlier.</w:t>
      </w:r>
    </w:p>
    <w:p>
      <w:pPr>
        <w:keepNext/>
        <w:spacing w:after="40"/>
        <w:jc w:val="center"/>
      </w:pPr>
      <w:r>
        <w:drawing>
          <wp:inline xmlns:a="http://schemas.openxmlformats.org/drawingml/2006/main" xmlns:pic="http://schemas.openxmlformats.org/drawingml/2006/picture">
            <wp:extent cx="3786916" cy="1737360"/>
            <wp:docPr id="11" name="Picture 11"/>
            <wp:cNvGraphicFramePr>
              <a:graphicFrameLocks noChangeAspect="1"/>
            </wp:cNvGraphicFramePr>
            <a:graphic>
              <a:graphicData uri="http://schemas.openxmlformats.org/drawingml/2006/picture">
                <pic:pic>
                  <pic:nvPicPr>
                    <pic:cNvPr id="0" name="fig4_thermal_windows.png"/>
                    <pic:cNvPicPr/>
                  </pic:nvPicPr>
                  <pic:blipFill>
                    <a:blip r:embed="rId19"/>
                    <a:stretch>
                      <a:fillRect/>
                    </a:stretch>
                  </pic:blipFill>
                  <pic:spPr>
                    <a:xfrm>
                      <a:off x="0" y="0"/>
                      <a:ext cx="3786916" cy="1737360"/>
                    </a:xfrm>
                    <a:prstGeom prst="rect"/>
                  </pic:spPr>
                </pic:pic>
              </a:graphicData>
            </a:graphic>
          </wp:inline>
        </w:drawing>
      </w:r>
    </w:p>
    <w:p>
      <w:pPr>
        <w:spacing w:line="240" w:lineRule="auto" w:after="80"/>
        <w:jc w:val="center"/>
      </w:pPr>
      <w:r>
        <w:rPr>
          <w:i/>
          <w:sz w:val="20"/>
        </w:rPr>
        <w:t>Figure 11. Thermal properties and processing windows: Tg/Tm/Td for each material on a common temperature axis, window width labelled directly</w:t>
      </w:r>
    </w:p>
    <w:p>
      <w:pPr>
        <w:pStyle w:val="Heading2"/>
      </w:pPr>
      <w:r>
        <w:t>5.2 Mechanical Behaviour</w:t>
      </w:r>
    </w:p>
    <w:p>
      <w:pPr>
        <w:jc w:val="both"/>
      </w:pPr>
      <w:r>
        <w:rPr>
          <w:b w:val="0"/>
          <w:i w:val="0"/>
        </w:rPr>
        <w:t>The same logic sets the mechanical envelope (Fig. 12): high crystallinity and dense hydrogen bonding raise modulus but remove the flexible segments that let polyolefins draw before breaking, so biopolymers sit at high modulus, low elongation relative to PE/PP/PET [11,43]. Natural rubber is the exception — no modulus at rest, performance generated on demand by SIC (§3.5, §7.3). The regions in Fig. 12 are ranges, not points: sample form, moisture, crystallinity and thermal history each move a material's data by an order of magnitude, recurring as "batch variability" in §7.2.</w:t>
      </w:r>
    </w:p>
    <w:p>
      <w:pPr>
        <w:keepNext/>
        <w:spacing w:after="40"/>
        <w:jc w:val="center"/>
      </w:pPr>
      <w:r>
        <w:drawing>
          <wp:inline xmlns:a="http://schemas.openxmlformats.org/drawingml/2006/main" xmlns:pic="http://schemas.openxmlformats.org/drawingml/2006/picture">
            <wp:extent cx="3601187" cy="1737360"/>
            <wp:docPr id="12" name="Picture 12"/>
            <wp:cNvGraphicFramePr>
              <a:graphicFrameLocks noChangeAspect="1"/>
            </wp:cNvGraphicFramePr>
            <a:graphic>
              <a:graphicData uri="http://schemas.openxmlformats.org/drawingml/2006/picture">
                <pic:pic>
                  <pic:nvPicPr>
                    <pic:cNvPr id="0" name="fig5_property_map.png"/>
                    <pic:cNvPicPr/>
                  </pic:nvPicPr>
                  <pic:blipFill>
                    <a:blip r:embed="rId20"/>
                    <a:stretch>
                      <a:fillRect/>
                    </a:stretch>
                  </pic:blipFill>
                  <pic:spPr>
                    <a:xfrm>
                      <a:off x="0" y="0"/>
                      <a:ext cx="3601187" cy="1737360"/>
                    </a:xfrm>
                    <a:prstGeom prst="rect"/>
                  </pic:spPr>
                </pic:pic>
              </a:graphicData>
            </a:graphic>
          </wp:inline>
        </w:drawing>
      </w:r>
    </w:p>
    <w:p>
      <w:pPr>
        <w:spacing w:line="240" w:lineRule="auto" w:after="80"/>
        <w:jc w:val="center"/>
      </w:pPr>
      <w:r>
        <w:rPr>
          <w:i/>
          <w:sz w:val="20"/>
        </w:rPr>
        <w:t>Figure 12. Ashby-style modulus vs. elongation-at-break map, region ellipses in log–log space, PE/PP/PET plotted for reference</w:t>
      </w:r>
    </w:p>
    <w:p>
      <w:pPr>
        <w:pStyle w:val="Heading2"/>
      </w:pPr>
      <w:r>
        <w:t>5.3 Hydrophilicity and Barrier Properties</w:t>
      </w:r>
    </w:p>
    <w:p>
      <w:pPr>
        <w:jc w:val="both"/>
      </w:pPr>
      <w:r>
        <w:rPr>
          <w:b w:val="0"/>
          <w:i w:val="0"/>
        </w:rPr>
        <w:t>The polar groups behind the strength in §5.1–5.2 have a third consequence: strong hygroscopicity. Absorbed water plasticises the amorphous fraction and swells free volume, so barrier performance falls as humidity rises. ⚙️ Atomistic free-volume/diffusion modelling can predict this ahead of a packaging trial — which is why PLA and starch films must carry a storage-humidity condition, not a fixed barrier rating.</w:t>
      </w:r>
    </w:p>
    <w:p>
      <w:pPr>
        <w:pStyle w:val="Heading2"/>
      </w:pPr>
      <w:r>
        <w:t>5.4 Degradation as a Material Property</w:t>
      </w:r>
    </w:p>
    <w:p>
      <w:pPr>
        <w:jc w:val="both"/>
      </w:pPr>
      <w:r>
        <w:rPr>
          <w:b w:val="0"/>
          <w:i w:val="0"/>
        </w:rPr>
        <w:t>Degradation is a rate process governed by structure (Fig. 13). Polyesters degrade by autocatalytic ester hydrolysis — each scission's acid end accelerates the next, so interiors erode faster than surfaces once the part is below a critical thickness (bulk erosion [49]); polysaccharides and proteins degrade by enzymatic attack, which reaches only amorphous segments, so rate is set by accessible surface area, not bulk chemistry [50]. Crystallinity is therefore the report's central trade-off: the feature that sets modulus (§5.2) and blocks water uptake (§5.3) also blocks the attack that would degrade the material. ⚙️ Computed ester-hydrolysis barriers fall in the order base-catalysed &lt; acid-catalysed &lt; neutral, matching the observed pH-dependence of the rate.</w:t>
      </w:r>
    </w:p>
    <w:p>
      <w:pPr>
        <w:keepNext/>
        <w:spacing w:after="40"/>
        <w:jc w:val="center"/>
      </w:pPr>
      <w:r>
        <w:drawing>
          <wp:inline xmlns:a="http://schemas.openxmlformats.org/drawingml/2006/main" xmlns:pic="http://schemas.openxmlformats.org/drawingml/2006/picture">
            <wp:extent cx="5055837" cy="1188720"/>
            <wp:docPr id="13" name="Picture 13"/>
            <wp:cNvGraphicFramePr>
              <a:graphicFrameLocks noChangeAspect="1"/>
            </wp:cNvGraphicFramePr>
            <a:graphic>
              <a:graphicData uri="http://schemas.openxmlformats.org/drawingml/2006/picture">
                <pic:pic>
                  <pic:nvPicPr>
                    <pic:cNvPr id="0" name="fig_degradation.png"/>
                    <pic:cNvPicPr/>
                  </pic:nvPicPr>
                  <pic:blipFill>
                    <a:blip r:embed="rId21"/>
                    <a:stretch>
                      <a:fillRect/>
                    </a:stretch>
                  </pic:blipFill>
                  <pic:spPr>
                    <a:xfrm>
                      <a:off x="0" y="0"/>
                      <a:ext cx="5055837" cy="1188720"/>
                    </a:xfrm>
                    <a:prstGeom prst="rect"/>
                  </pic:spPr>
                </pic:pic>
              </a:graphicData>
            </a:graphic>
          </wp:inline>
        </w:drawing>
      </w:r>
    </w:p>
    <w:p>
      <w:pPr>
        <w:spacing w:line="240" w:lineRule="auto" w:after="80"/>
        <w:jc w:val="center"/>
      </w:pPr>
      <w:r>
        <w:rPr>
          <w:i/>
          <w:sz w:val="20"/>
        </w:rPr>
        <w:t>Figure 13. Two degradation routes, drawn by the authors: (a) polyester backbone ester hydrolysis — the carboxylic-acid end group autocatalyses further hydrolysis, so thick parts erode from the inside (bulk erosion); (b) enzymatic attack on polysaccharides and proteins reaches only amorphous regions, so crystallinity sets the rate.</w:t>
      </w:r>
    </w:p>
    <w:p>
      <w:pPr>
        <w:pStyle w:val="Heading1"/>
      </w:pPr>
      <w:r>
        <w:t>6. Processing</w:t>
      </w:r>
    </w:p>
    <w:p>
      <w:pPr>
        <w:jc w:val="both"/>
      </w:pPr>
      <w:r>
        <w:rPr>
          <w:b w:val="0"/>
          <w:i w:val="0"/>
        </w:rPr>
        <w:t>Fig. 14 turns §5.1's windows into a processing decision: whether a stable melt window exists sets melt vs. solution processing, and its width sets how tightly the process must be controlled. The judgement this yields: most reported "performance shortfalls" are processing-window shortfalls, not material-property shortfalls (§5.1–5.2).</w:t>
      </w:r>
    </w:p>
    <w:p>
      <w:pPr>
        <w:keepNext/>
        <w:spacing w:after="40"/>
        <w:jc w:val="center"/>
      </w:pPr>
      <w:r>
        <w:drawing>
          <wp:inline xmlns:a="http://schemas.openxmlformats.org/drawingml/2006/main" xmlns:pic="http://schemas.openxmlformats.org/drawingml/2006/picture">
            <wp:extent cx="3730380" cy="2194560"/>
            <wp:docPr id="14" name="Picture 14"/>
            <wp:cNvGraphicFramePr>
              <a:graphicFrameLocks noChangeAspect="1"/>
            </wp:cNvGraphicFramePr>
            <a:graphic>
              <a:graphicData uri="http://schemas.openxmlformats.org/drawingml/2006/picture">
                <pic:pic>
                  <pic:nvPicPr>
                    <pic:cNvPr id="0" name="fig10_processing_routes.png"/>
                    <pic:cNvPicPr/>
                  </pic:nvPicPr>
                  <pic:blipFill>
                    <a:blip r:embed="rId22"/>
                    <a:stretch>
                      <a:fillRect/>
                    </a:stretch>
                  </pic:blipFill>
                  <pic:spPr>
                    <a:xfrm>
                      <a:off x="0" y="0"/>
                      <a:ext cx="3730380" cy="2194560"/>
                    </a:xfrm>
                    <a:prstGeom prst="rect"/>
                  </pic:spPr>
                </pic:pic>
              </a:graphicData>
            </a:graphic>
          </wp:inline>
        </w:drawing>
      </w:r>
    </w:p>
    <w:p>
      <w:pPr>
        <w:spacing w:line="240" w:lineRule="auto" w:after="80"/>
        <w:jc w:val="center"/>
      </w:pPr>
      <w:r>
        <w:rPr>
          <w:i/>
          <w:sz w:val="20"/>
        </w:rPr>
        <w:t>Figure 14. Processing decision flowchart: stable melt window? → melt processing (PBS/PHB/PLA, window width sets control tightness) or solution processing (cellulose/chitosan dissolution routes) → shared countermeasures that widen whichever window exists.</w:t>
      </w:r>
    </w:p>
    <w:p>
      <w:pPr>
        <w:pStyle w:val="Heading1"/>
      </w:pPr>
      <w:r>
        <w:t>7. Advantages and Disadvantages Compared with Synthetic Polymers</w:t>
      </w:r>
    </w:p>
    <w:p>
      <w:pPr>
        <w:pStyle w:val="Heading2"/>
      </w:pPr>
      <w:r>
        <w:t>7.1 Where Biopolymers Genuinely Win</w:t>
      </w:r>
    </w:p>
    <w:p>
      <w:pPr>
        <w:jc w:val="both"/>
      </w:pPr>
      <w:r>
        <w:rPr>
          <w:b w:val="0"/>
          <w:i w:val="0"/>
        </w:rPr>
        <w:t xml:space="preserve">Four advantages are structural, each tracing to §3. </w:t>
      </w:r>
      <w:r>
        <w:rPr>
          <w:b/>
          <w:i w:val="0"/>
        </w:rPr>
        <w:t>Renewable, non-fossil feedstock</w:t>
      </w:r>
      <w:r>
        <w:rPr>
          <w:b w:val="0"/>
          <w:i w:val="0"/>
        </w:rPr>
        <w:t xml:space="preserve"> is the only one uniform across all five families. </w:t>
      </w:r>
      <w:r>
        <w:rPr>
          <w:b/>
          <w:i w:val="0"/>
        </w:rPr>
        <w:t>Biodegradability in leakage-prone contexts</w:t>
      </w:r>
      <w:r>
        <w:rPr>
          <w:b w:val="0"/>
          <w:i w:val="0"/>
        </w:rPr>
        <w:t xml:space="preserve"> — mulch film, fishing gear, disposable foodware — turns hydrolytic/enzymatic susceptibility from a burden into a desired property, provided the environment matches the material [51] (§5.4). </w:t>
      </w:r>
      <w:r>
        <w:rPr>
          <w:b/>
          <w:i w:val="0"/>
        </w:rPr>
        <w:t>Biocompatibility and bioresorbability</w:t>
      </w:r>
      <w:r>
        <w:rPr>
          <w:b w:val="0"/>
          <w:i w:val="0"/>
        </w:rPr>
        <w:t xml:space="preserve"> let PLA/PGA sutures [52] and collagen/alginate/chitosan hydrogels and dressings [55] do what commodity synthetics cannot without costly modification — the one space (§8) where biopolymers are the only viable class, though not unconditionally (§7.3). And </w:t>
      </w:r>
      <w:r>
        <w:rPr>
          <w:b/>
          <w:i w:val="0"/>
        </w:rPr>
        <w:t>intrinsic functionality beyond mechanics</w:t>
      </w:r>
      <w:r>
        <w:rPr>
          <w:b w:val="0"/>
          <w:i w:val="0"/>
        </w:rPr>
        <w:t xml:space="preserve"> — chirality (PLA stereocomplexation), pH-responsive charge (chitosan), sequence-encoded bioactivity (silk, collagen) — comes free with the biological structure.</w:t>
      </w:r>
    </w:p>
    <w:p>
      <w:pPr>
        <w:pStyle w:val="Heading2"/>
      </w:pPr>
      <w:r>
        <w:t>7.2 Where They Lose — Stated with Numbers, Not Adjectives</w:t>
      </w:r>
    </w:p>
    <w:p>
      <w:pPr>
        <w:pStyle w:val="ListBullet"/>
      </w:pPr>
      <w:r>
        <w:rPr>
          <w:b/>
          <w:i w:val="0"/>
        </w:rPr>
        <w:t>Price.</w:t>
      </w:r>
      <w:r>
        <w:rPr>
          <w:b w:val="0"/>
          <w:i w:val="0"/>
        </w:rPr>
        <w:t xml:space="preserve"> PLA is several times the price of commodity PE/PP, PHA higher still [16,53]; a material-specific $/kg figure still needs a current market report.</w:t>
      </w:r>
    </w:p>
    <w:p>
      <w:pPr>
        <w:pStyle w:val="ListBullet"/>
      </w:pPr>
      <w:r>
        <w:rPr>
          <w:b/>
          <w:i w:val="0"/>
        </w:rPr>
        <w:t>Heat/barrier.</w:t>
      </w:r>
      <w:r>
        <w:rPr>
          <w:b w:val="0"/>
          <w:i w:val="0"/>
        </w:rPr>
        <w:t xml:space="preserve"> PLA's HDT (~55–65 °C) sits well below PP's ~100 °C+ without stereocomplexation (§3.2) [13,42]; its O₂/CO₂ transmission matches PET's, but water-vapour barrier is worse, and starch films worse again [14] — the real critique is moisture sensitivity (§5.3), not an oxygen deficit.</w:t>
      </w:r>
    </w:p>
    <w:p>
      <w:pPr>
        <w:pStyle w:val="ListBullet"/>
      </w:pPr>
      <w:r>
        <w:rPr>
          <w:b/>
          <w:i w:val="0"/>
        </w:rPr>
        <w:t>Brittleness/hygroscopicity.</w:t>
      </w:r>
      <w:r>
        <w:rPr>
          <w:b w:val="0"/>
          <w:i w:val="0"/>
        </w:rPr>
        <w:t xml:space="preserve"> PHB's secondary crystallisation and PLA's sub-Tg ageing embrittle on storage [43]; starch drifts with humidity, and PLA must be dried before melt processing or MW drops uncontrollably (§4).</w:t>
      </w:r>
    </w:p>
    <w:p>
      <w:pPr>
        <w:pStyle w:val="ListBullet"/>
      </w:pPr>
      <w:r>
        <w:rPr>
          <w:b/>
          <w:i w:val="0"/>
        </w:rPr>
        <w:t>Batch variability.</w:t>
      </w:r>
      <w:r>
        <w:rPr>
          <w:b w:val="0"/>
          <w:i w:val="0"/>
        </w:rPr>
        <w:t xml:space="preserve"> Agricultural sourcing (alginate M/G, chitosan DD, starch amylose, NR clone/age [19]) varies in ways petrochemical monomers do not.</w:t>
      </w:r>
    </w:p>
    <w:p>
      <w:pPr>
        <w:pStyle w:val="ListBullet"/>
      </w:pPr>
      <w:r>
        <w:rPr>
          <w:b/>
          <w:i w:val="0"/>
        </w:rPr>
        <w:t>Recycling compatibility.</w:t>
      </w:r>
      <w:r>
        <w:rPr>
          <w:b w:val="0"/>
          <w:i w:val="0"/>
        </w:rPr>
        <w:t xml:space="preserve"> A 2022 study found in-stream PLA at only 0–0.019% of PET recycling streams, kept by NIR sorting below the ~1% threshold that measurably affects rPET [15] — a sorting-infrastructure dependency, not an inherent incompatibility.</w:t>
      </w:r>
    </w:p>
    <w:p>
      <w:pPr>
        <w:pStyle w:val="Heading2"/>
      </w:pPr>
      <w:r>
        <w:t>7.3 Case Study: Natural Rubber vs. a Synthetic Analogue (SBR)</w:t>
      </w:r>
    </w:p>
    <w:p>
      <w:pPr>
        <w:jc w:val="both"/>
      </w:pPr>
      <w:r>
        <w:rPr>
          <w:b w:val="0"/>
          <w:i w:val="0"/>
        </w:rPr>
        <w:t>NR and styrene–butadiene rubber (SBR) are compounded, filled and vulcanised the same way and compete in the same applications (tyre tread, damping, conveyor belting) — the cleanest same-application comparison here, since differences trace to backbone chemistry, not processing. Fig. 15 shows the chain-scale origin of that difference (SIC); Table 5 scores both across six dimensions [10,18–32].</w:t>
      </w:r>
    </w:p>
    <w:p>
      <w:pPr>
        <w:keepNext/>
        <w:spacing w:after="40"/>
        <w:jc w:val="center"/>
      </w:pPr>
      <w:r>
        <w:drawing>
          <wp:inline xmlns:a="http://schemas.openxmlformats.org/drawingml/2006/main" xmlns:pic="http://schemas.openxmlformats.org/drawingml/2006/picture">
            <wp:extent cx="5831342" cy="2194560"/>
            <wp:docPr id="15" name="Picture 15"/>
            <wp:cNvGraphicFramePr>
              <a:graphicFrameLocks noChangeAspect="1"/>
            </wp:cNvGraphicFramePr>
            <a:graphic>
              <a:graphicData uri="http://schemas.openxmlformats.org/drawingml/2006/picture">
                <pic:pic>
                  <pic:nvPicPr>
                    <pic:cNvPr id="0" name="fig8_nr_sbr_comparison.png"/>
                    <pic:cNvPicPr/>
                  </pic:nvPicPr>
                  <pic:blipFill>
                    <a:blip r:embed="rId23"/>
                    <a:stretch>
                      <a:fillRect/>
                    </a:stretch>
                  </pic:blipFill>
                  <pic:spPr>
                    <a:xfrm>
                      <a:off x="0" y="0"/>
                      <a:ext cx="5831342" cy="2194560"/>
                    </a:xfrm>
                    <a:prstGeom prst="rect"/>
                  </pic:spPr>
                </pic:pic>
              </a:graphicData>
            </a:graphic>
          </wp:inline>
        </w:drawing>
      </w:r>
    </w:p>
    <w:p>
      <w:pPr>
        <w:spacing w:line="240" w:lineRule="auto" w:after="80"/>
        <w:jc w:val="center"/>
      </w:pPr>
      <w:r>
        <w:rPr>
          <w:i/>
          <w:sz w:val="20"/>
        </w:rPr>
        <w:t>Figure 15. NR and SBR structure, drawn by the authors: (a) NR (cis-1,4-polyisoprene), (b) SBR's 1,4-butadiene unit, (c) SBR's styrene unit (RDKit, verified SMILES); (d) at chain scale, stereoregular NR aligns into crystalline bundles under strain (SIC, X-ray confirmed) while SBR's irregular backbone stays amorphous even when stretched — the structural basis of the "SIC &amp; tear resistance" row of Table 5.</w:t>
      </w:r>
    </w:p>
    <w:p>
      <w:pPr>
        <w:spacing w:line="240" w:lineRule="auto" w:after="40"/>
      </w:pPr>
      <w:r>
        <w:rPr>
          <w:b/>
          <w:i w:val="0"/>
          <w:sz w:val="20"/>
        </w:rPr>
        <w:t>Table 5.</w:t>
      </w:r>
      <w:r>
        <w:rPr>
          <w:b w:val="0"/>
          <w:i w:val="0"/>
          <w:sz w:val="20"/>
        </w:rPr>
        <w:t xml:space="preserve"> Natural rubber (NR) vs. SBR, dimension by dimension — structurally favourable / formulation- or context-dependent / documented risk or caveat.</w:t>
      </w:r>
    </w:p>
    <w:tbl>
      <w:tblPr>
        <w:tblW w:type="auto" w:w="0"/>
        <w:jc w:val="center"/>
        <w:tblLayout w:type="fixed"/>
        <w:tblLook w:firstColumn="1" w:firstRow="1" w:lastColumn="0" w:lastRow="0" w:noHBand="0" w:noVBand="1" w:val="04A0"/>
        <w:tblLayout w:type="fixed"/>
      </w:tblPr>
      <w:tblGrid>
        <w:gridCol w:w="2497"/>
        <w:gridCol w:w="3166"/>
        <w:gridCol w:w="3263"/>
      </w:tblGrid>
      <w:tr>
        <w:tc>
          <w:tcPr>
            <w:tcW w:type="dxa" w:w="2497"/>
            <w:tcBorders>
              <w:top w:val="single" w:sz="8" w:space="0" w:color="000000"/>
              <w:bottom w:val="single" w:sz="8" w:space="0" w:color="000000"/>
            </w:tcBorders>
          </w:tcPr>
          <w:p>
            <w:pPr>
              <w:spacing w:after="10" w:before="10" w:line="240" w:lineRule="auto"/>
            </w:pPr>
            <w:r>
              <w:rPr>
                <w:rFonts w:ascii="Arial" w:hAnsi="Arial"/>
                <w:b/>
                <w:i w:val="0"/>
                <w:sz w:val="16"/>
              </w:rPr>
              <w:t>Dimension</w:t>
            </w:r>
          </w:p>
        </w:tc>
        <w:tc>
          <w:tcPr>
            <w:tcW w:type="dxa" w:w="3167"/>
            <w:tcBorders>
              <w:top w:val="single" w:sz="8" w:space="0" w:color="000000"/>
              <w:bottom w:val="single" w:sz="8" w:space="0" w:color="000000"/>
            </w:tcBorders>
          </w:tcPr>
          <w:p>
            <w:pPr>
              <w:spacing w:after="10" w:before="10" w:line="240" w:lineRule="auto"/>
            </w:pPr>
            <w:r>
              <w:rPr>
                <w:rFonts w:ascii="Arial" w:hAnsi="Arial"/>
                <w:b/>
                <w:i w:val="0"/>
                <w:sz w:val="16"/>
              </w:rPr>
              <w:t>Natural rubber (NR)</w:t>
            </w:r>
          </w:p>
        </w:tc>
        <w:tc>
          <w:tcPr>
            <w:tcW w:type="dxa" w:w="3264"/>
            <w:tcBorders>
              <w:top w:val="single" w:sz="8" w:space="0" w:color="000000"/>
              <w:bottom w:val="single" w:sz="8" w:space="0" w:color="000000"/>
            </w:tcBorders>
          </w:tcPr>
          <w:p>
            <w:pPr>
              <w:spacing w:after="10" w:before="10" w:line="240" w:lineRule="auto"/>
            </w:pPr>
            <w:r>
              <w:rPr>
                <w:rFonts w:ascii="Arial" w:hAnsi="Arial"/>
                <w:b/>
                <w:i w:val="0"/>
                <w:sz w:val="16"/>
              </w:rPr>
              <w:t>SBR</w:t>
            </w:r>
          </w:p>
        </w:tc>
      </w:tr>
      <w:tr>
        <w:tc>
          <w:tcPr>
            <w:tcW w:type="dxa" w:w="2497"/>
            <w:tcBorders>
              <w:top w:val="nil"/>
              <w:bottom w:val="nil"/>
            </w:tcBorders>
          </w:tcPr>
          <w:p>
            <w:pPr>
              <w:spacing w:after="10" w:before="10" w:line="240" w:lineRule="auto"/>
            </w:pPr>
            <w:r>
              <w:rPr>
                <w:rFonts w:ascii="Arial" w:hAnsi="Arial"/>
                <w:b w:val="0"/>
                <w:i w:val="0"/>
                <w:sz w:val="16"/>
              </w:rPr>
              <w:t>Structure / MW control</w:t>
            </w:r>
          </w:p>
        </w:tc>
        <w:tc>
          <w:tcPr>
            <w:tcW w:type="dxa" w:w="3167"/>
            <w:tcBorders>
              <w:top w:val="nil"/>
              <w:bottom w:val="nil"/>
            </w:tcBorders>
          </w:tcPr>
          <w:p>
            <w:pPr>
              <w:spacing w:after="10" w:before="10" w:line="240" w:lineRule="auto"/>
            </w:pPr>
            <w:r>
              <w:rPr>
                <w:rFonts w:ascii="Arial" w:hAnsi="Arial"/>
                <w:b w:val="0"/>
                <w:i w:val="0"/>
                <w:sz w:val="16"/>
              </w:rPr>
              <w:t>Extracted; varies by clone &amp; tree age [19]</w:t>
            </w:r>
          </w:p>
        </w:tc>
        <w:tc>
          <w:tcPr>
            <w:tcW w:type="dxa" w:w="3264"/>
            <w:tcBorders>
              <w:top w:val="nil"/>
              <w:bottom w:val="nil"/>
            </w:tcBorders>
          </w:tcPr>
          <w:p>
            <w:pPr>
              <w:spacing w:after="10" w:before="10" w:line="240" w:lineRule="auto"/>
            </w:pPr>
            <w:r>
              <w:rPr>
                <w:rFonts w:ascii="Arial" w:hAnsi="Arial"/>
                <w:b w:val="0"/>
                <w:i w:val="0"/>
                <w:sz w:val="16"/>
              </w:rPr>
              <w:t>Engineered by emulsion/solution copolymerisation [20,21]</w:t>
            </w:r>
          </w:p>
        </w:tc>
      </w:tr>
      <w:tr>
        <w:tc>
          <w:tcPr>
            <w:tcW w:type="dxa" w:w="2497"/>
            <w:tcBorders>
              <w:top w:val="nil"/>
              <w:bottom w:val="nil"/>
            </w:tcBorders>
          </w:tcPr>
          <w:p>
            <w:pPr>
              <w:spacing w:after="10" w:before="10" w:line="240" w:lineRule="auto"/>
            </w:pPr>
            <w:r>
              <w:rPr>
                <w:rFonts w:ascii="Arial" w:hAnsi="Arial"/>
                <w:b w:val="0"/>
                <w:i w:val="0"/>
                <w:sz w:val="16"/>
              </w:rPr>
              <w:t>SIC &amp; tear resistance</w:t>
            </w:r>
          </w:p>
        </w:tc>
        <w:tc>
          <w:tcPr>
            <w:tcW w:type="dxa" w:w="3167"/>
            <w:tcBorders>
              <w:top w:val="nil"/>
              <w:bottom w:val="nil"/>
            </w:tcBorders>
          </w:tcPr>
          <w:p>
            <w:pPr>
              <w:spacing w:after="10" w:before="10" w:line="240" w:lineRule="auto"/>
            </w:pPr>
            <w:r>
              <w:rPr>
                <w:rFonts w:ascii="Arial" w:hAnsi="Arial"/>
                <w:b w:val="0"/>
                <w:i w:val="0"/>
                <w:sz w:val="16"/>
              </w:rPr>
              <w:t>Favourable: strong strain-induced crystallisation [10,23]; weakens as SBR fraction rises in blends [22]</w:t>
            </w:r>
          </w:p>
        </w:tc>
        <w:tc>
          <w:tcPr>
            <w:tcW w:type="dxa" w:w="3264"/>
            <w:tcBorders>
              <w:top w:val="nil"/>
              <w:bottom w:val="nil"/>
            </w:tcBorders>
          </w:tcPr>
          <w:p>
            <w:pPr>
              <w:spacing w:after="10" w:before="10" w:line="240" w:lineRule="auto"/>
            </w:pPr>
            <w:r>
              <w:rPr>
                <w:rFonts w:ascii="Arial" w:hAnsi="Arial"/>
                <w:b w:val="0"/>
                <w:i w:val="0"/>
                <w:sz w:val="16"/>
              </w:rPr>
              <w:t>Crystallises far less; reaches parity via filler and cure design, not backbone [24–26]</w:t>
            </w:r>
          </w:p>
        </w:tc>
      </w:tr>
      <w:tr>
        <w:tc>
          <w:tcPr>
            <w:tcW w:type="dxa" w:w="2497"/>
            <w:tcBorders>
              <w:top w:val="nil"/>
              <w:bottom w:val="nil"/>
            </w:tcBorders>
          </w:tcPr>
          <w:p>
            <w:pPr>
              <w:spacing w:after="10" w:before="10" w:line="240" w:lineRule="auto"/>
            </w:pPr>
            <w:r>
              <w:rPr>
                <w:rFonts w:ascii="Arial" w:hAnsi="Arial"/>
                <w:b w:val="0"/>
                <w:i w:val="0"/>
                <w:sz w:val="16"/>
              </w:rPr>
              <w:t>Biocompatibility</w:t>
            </w:r>
          </w:p>
        </w:tc>
        <w:tc>
          <w:tcPr>
            <w:tcW w:type="dxa" w:w="3167"/>
            <w:tcBorders>
              <w:top w:val="nil"/>
              <w:bottom w:val="nil"/>
            </w:tcBorders>
          </w:tcPr>
          <w:p>
            <w:pPr>
              <w:spacing w:after="10" w:before="10" w:line="240" w:lineRule="auto"/>
            </w:pPr>
            <w:r>
              <w:rPr>
                <w:rFonts w:ascii="Arial" w:hAnsi="Arial"/>
                <w:b w:val="0"/>
                <w:i w:val="0"/>
                <w:sz w:val="16"/>
              </w:rPr>
              <w:t>Real potential, but latex-protein allergy risk [27,28]</w:t>
            </w:r>
          </w:p>
        </w:tc>
        <w:tc>
          <w:tcPr>
            <w:tcW w:type="dxa" w:w="3264"/>
            <w:tcBorders>
              <w:top w:val="nil"/>
              <w:bottom w:val="nil"/>
            </w:tcBorders>
          </w:tcPr>
          <w:p>
            <w:pPr>
              <w:spacing w:after="10" w:before="10" w:line="240" w:lineRule="auto"/>
            </w:pPr>
            <w:r>
              <w:rPr>
                <w:rFonts w:ascii="Arial" w:hAnsi="Arial"/>
                <w:b w:val="0"/>
                <w:i w:val="0"/>
                <w:sz w:val="16"/>
              </w:rPr>
              <w:t>No unconditional biocompatibility claim [27,28]</w:t>
            </w:r>
          </w:p>
        </w:tc>
      </w:tr>
      <w:tr>
        <w:tc>
          <w:tcPr>
            <w:tcW w:type="dxa" w:w="2497"/>
            <w:tcBorders>
              <w:top w:val="nil"/>
              <w:bottom w:val="nil"/>
            </w:tcBorders>
          </w:tcPr>
          <w:p>
            <w:pPr>
              <w:spacing w:after="10" w:before="10" w:line="240" w:lineRule="auto"/>
            </w:pPr>
            <w:r>
              <w:rPr>
                <w:rFonts w:ascii="Arial" w:hAnsi="Arial"/>
                <w:b w:val="0"/>
                <w:i w:val="0"/>
                <w:sz w:val="16"/>
              </w:rPr>
              <w:t>Environmental footprint</w:t>
            </w:r>
          </w:p>
        </w:tc>
        <w:tc>
          <w:tcPr>
            <w:tcW w:type="dxa" w:w="3167"/>
            <w:tcBorders>
              <w:top w:val="nil"/>
              <w:bottom w:val="nil"/>
            </w:tcBorders>
          </w:tcPr>
          <w:p>
            <w:pPr>
              <w:spacing w:after="10" w:before="10" w:line="240" w:lineRule="auto"/>
            </w:pPr>
            <w:r>
              <w:rPr>
                <w:rFonts w:ascii="Arial" w:hAnsi="Arial"/>
                <w:b w:val="0"/>
                <w:i w:val="0"/>
                <w:sz w:val="16"/>
              </w:rPr>
              <w:t>Renewable, but LCA shows real land/energy cost [29,30]</w:t>
            </w:r>
          </w:p>
        </w:tc>
        <w:tc>
          <w:tcPr>
            <w:tcW w:type="dxa" w:w="3264"/>
            <w:tcBorders>
              <w:top w:val="nil"/>
              <w:bottom w:val="nil"/>
            </w:tcBorders>
          </w:tcPr>
          <w:p>
            <w:pPr>
              <w:spacing w:after="10" w:before="10" w:line="240" w:lineRule="auto"/>
            </w:pPr>
            <w:r>
              <w:rPr>
                <w:rFonts w:ascii="Arial" w:hAnsi="Arial"/>
                <w:b w:val="0"/>
                <w:i w:val="0"/>
                <w:sz w:val="16"/>
              </w:rPr>
              <w:t>Fossil feedstock; biodegradable grades emerging [31]</w:t>
            </w:r>
          </w:p>
        </w:tc>
      </w:tr>
      <w:tr>
        <w:tc>
          <w:tcPr>
            <w:tcW w:type="dxa" w:w="2497"/>
            <w:tcBorders>
              <w:top w:val="nil"/>
              <w:bottom w:val="single" w:sz="8" w:space="0" w:color="000000"/>
            </w:tcBorders>
          </w:tcPr>
          <w:p>
            <w:pPr>
              <w:spacing w:after="10" w:before="10" w:line="240" w:lineRule="auto"/>
            </w:pPr>
            <w:r>
              <w:rPr>
                <w:rFonts w:ascii="Arial" w:hAnsi="Arial"/>
                <w:b w:val="0"/>
                <w:i w:val="0"/>
                <w:sz w:val="16"/>
              </w:rPr>
              <w:t>Price stability</w:t>
            </w:r>
          </w:p>
        </w:tc>
        <w:tc>
          <w:tcPr>
            <w:tcW w:type="dxa" w:w="3167"/>
            <w:tcBorders>
              <w:top w:val="nil"/>
              <w:bottom w:val="single" w:sz="8" w:space="0" w:color="000000"/>
            </w:tcBorders>
          </w:tcPr>
          <w:p>
            <w:pPr>
              <w:spacing w:after="10" w:before="10" w:line="240" w:lineRule="auto"/>
            </w:pPr>
            <w:r>
              <w:rPr>
                <w:rFonts w:ascii="Arial" w:hAnsi="Arial"/>
                <w:b w:val="0"/>
                <w:i w:val="0"/>
                <w:sz w:val="16"/>
              </w:rPr>
              <w:t>Historically the more volatile of the two [32]</w:t>
            </w:r>
          </w:p>
        </w:tc>
        <w:tc>
          <w:tcPr>
            <w:tcW w:type="dxa" w:w="3264"/>
            <w:tcBorders>
              <w:top w:val="nil"/>
              <w:bottom w:val="single" w:sz="8" w:space="0" w:color="000000"/>
            </w:tcBorders>
          </w:tcPr>
          <w:p>
            <w:pPr>
              <w:spacing w:after="10" w:before="10" w:line="240" w:lineRule="auto"/>
            </w:pPr>
            <w:r>
              <w:rPr>
                <w:rFonts w:ascii="Arial" w:hAnsi="Arial"/>
                <w:b w:val="0"/>
                <w:i w:val="0"/>
                <w:sz w:val="16"/>
              </w:rPr>
              <w:t>Steadier, but tied to the petrochemical supply chain [32]</w:t>
            </w:r>
          </w:p>
        </w:tc>
      </w:tr>
    </w:tbl>
    <w:p>
      <w:pPr>
        <w:spacing w:after="0" w:line="240" w:lineRule="auto"/>
      </w:pPr>
    </w:p>
    <w:p>
      <w:pPr>
        <w:jc w:val="both"/>
      </w:pPr>
      <w:r>
        <w:rPr>
          <w:b w:val="0"/>
          <w:i w:val="0"/>
        </w:rPr>
        <w:t>Under matched compounding, NR's SIC gives better tear and crack-growth resistance to start with [10,23], but SBR reaches comparable wear resistance through reinforcement and cure design, not backbone crystallisation [24] — the clearest case here of backbone chemistry trading off against formulation (§6). The "natural is better" story does not survive the literature, though: NR latex carries a real, SBR-absent allergy risk [27,28], its renewability does not automatically mean a lower LCA footprint [29,30], and NR pricing has historically been the more volatile of the two, for climate and disease reasons unrelated to polymer chemistry [32].</w:t>
      </w:r>
    </w:p>
    <w:p>
      <w:pPr>
        <w:pStyle w:val="Heading1"/>
      </w:pPr>
      <w:r>
        <w:t>8. Applications</w:t>
      </w:r>
    </w:p>
    <w:p>
      <w:pPr>
        <w:jc w:val="both"/>
      </w:pPr>
      <w:r>
        <w:rPr>
          <w:b w:val="0"/>
          <w:i w:val="0"/>
        </w:rPr>
        <w:t xml:space="preserve">Each application states the property need first, then the material that meets it (Table 4). </w:t>
      </w:r>
      <w:r>
        <w:rPr>
          <w:b/>
          <w:i w:val="0"/>
        </w:rPr>
        <w:t>Packaging</w:t>
      </w:r>
      <w:r>
        <w:rPr>
          <w:b w:val="0"/>
          <w:i w:val="0"/>
        </w:rPr>
        <w:t xml:space="preserve"> needs O₂/H₂O barrier, toughness and heat resistance above PLA's HDT (§7.2); no single biopolymer gives all three (§5.3), so packaging is almost always multilayer or blended. Compostable foodware and mulch film are driven by §7.1's biodegradability, not barrier, and need a rate matched to the use timescale (§5.4). </w:t>
      </w:r>
      <w:r>
        <w:rPr>
          <w:b/>
          <w:i w:val="0"/>
        </w:rPr>
        <w:t>Biomedical</w:t>
      </w:r>
      <w:r>
        <w:rPr>
          <w:b w:val="0"/>
          <w:i w:val="0"/>
        </w:rPr>
        <w:t xml:space="preserve"> applications need biocompatibility plus a tunable degradation rate (§5.4) — essentially unique here (§7.1, with the NR-latex caveat of §7.3): PGA and PLGA are established suture materials whose main failure mode is a local pH drop from acidic hydrolysis products [52,53]; collagen, alginate and chitosan extend this to scaffolds and bioprinting [55]. </w:t>
      </w:r>
      <w:r>
        <w:rPr>
          <w:b/>
          <w:i w:val="0"/>
        </w:rPr>
        <w:t>Textiles and other:</w:t>
      </w:r>
      <w:r>
        <w:rPr>
          <w:b w:val="0"/>
          <w:i w:val="0"/>
        </w:rPr>
        <w:t xml:space="preserve"> Lyocell and PLA fibre exploit cellulose's solution-processed stiffness [36] and PLA's melt-spinnability; NR adhesives and PHA/PLA electronics substrates trade predictability for intrinsic adhesion, biodegradability or biocompatibility.</w:t>
      </w:r>
    </w:p>
    <w:p>
      <w:pPr>
        <w:spacing w:line="240" w:lineRule="auto" w:after="40"/>
      </w:pPr>
      <w:r>
        <w:rPr>
          <w:b/>
          <w:i w:val="0"/>
          <w:sz w:val="20"/>
        </w:rPr>
        <w:t>Table 4.</w:t>
      </w:r>
      <w:r>
        <w:rPr>
          <w:b w:val="0"/>
          <w:i w:val="0"/>
          <w:sz w:val="20"/>
        </w:rPr>
        <w:t xml:space="preserve"> Applications, required property, and material.</w:t>
      </w:r>
    </w:p>
    <w:tbl>
      <w:tblPr>
        <w:tblW w:type="auto" w:w="0"/>
        <w:jc w:val="center"/>
        <w:tblLayout w:type="fixed"/>
        <w:tblLook w:firstColumn="1" w:firstRow="1" w:lastColumn="0" w:lastRow="0" w:noHBand="0" w:noVBand="1" w:val="04A0"/>
        <w:tblLayout w:type="fixed"/>
      </w:tblPr>
      <w:tblGrid>
        <w:gridCol w:w="2384"/>
        <w:gridCol w:w="3822"/>
        <w:gridCol w:w="2721"/>
      </w:tblGrid>
      <w:tr>
        <w:tc>
          <w:tcPr>
            <w:tcW w:type="dxa" w:w="2384"/>
            <w:tcBorders>
              <w:top w:val="single" w:sz="8" w:space="0" w:color="000000"/>
              <w:bottom w:val="single" w:sz="8" w:space="0" w:color="000000"/>
            </w:tcBorders>
          </w:tcPr>
          <w:p>
            <w:pPr>
              <w:spacing w:after="10" w:before="10" w:line="240" w:lineRule="auto"/>
            </w:pPr>
            <w:r>
              <w:rPr>
                <w:rFonts w:ascii="Arial" w:hAnsi="Arial"/>
                <w:b/>
                <w:i w:val="0"/>
                <w:sz w:val="16"/>
              </w:rPr>
              <w:t>Application</w:t>
            </w:r>
          </w:p>
        </w:tc>
        <w:tc>
          <w:tcPr>
            <w:tcW w:type="dxa" w:w="3823"/>
            <w:tcBorders>
              <w:top w:val="single" w:sz="8" w:space="0" w:color="000000"/>
              <w:bottom w:val="single" w:sz="8" w:space="0" w:color="000000"/>
            </w:tcBorders>
          </w:tcPr>
          <w:p>
            <w:pPr>
              <w:spacing w:after="10" w:before="10" w:line="240" w:lineRule="auto"/>
            </w:pPr>
            <w:r>
              <w:rPr>
                <w:rFonts w:ascii="Arial" w:hAnsi="Arial"/>
                <w:b/>
                <w:i w:val="0"/>
                <w:sz w:val="16"/>
              </w:rPr>
              <w:t>Key property required</w:t>
            </w:r>
          </w:p>
        </w:tc>
        <w:tc>
          <w:tcPr>
            <w:tcW w:type="dxa" w:w="2721"/>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r>
      <w:tr>
        <w:tc>
          <w:tcPr>
            <w:tcW w:type="dxa" w:w="2384"/>
            <w:tcBorders>
              <w:top w:val="nil"/>
              <w:bottom w:val="nil"/>
            </w:tcBorders>
          </w:tcPr>
          <w:p>
            <w:pPr>
              <w:spacing w:after="10" w:before="10" w:line="240" w:lineRule="auto"/>
            </w:pPr>
            <w:r>
              <w:rPr>
                <w:rFonts w:ascii="Arial" w:hAnsi="Arial"/>
                <w:b w:val="0"/>
                <w:i w:val="0"/>
                <w:sz w:val="16"/>
              </w:rPr>
              <w:t>Food packaging</w:t>
            </w:r>
          </w:p>
        </w:tc>
        <w:tc>
          <w:tcPr>
            <w:tcW w:type="dxa" w:w="3823"/>
            <w:tcBorders>
              <w:top w:val="nil"/>
              <w:bottom w:val="nil"/>
            </w:tcBorders>
          </w:tcPr>
          <w:p>
            <w:pPr>
              <w:spacing w:after="10" w:before="10" w:line="240" w:lineRule="auto"/>
            </w:pPr>
            <w:r>
              <w:rPr>
                <w:rFonts w:ascii="Arial" w:hAnsi="Arial"/>
                <w:b w:val="0"/>
                <w:i w:val="0"/>
                <w:sz w:val="16"/>
              </w:rPr>
              <w:t>O₂/H₂O barrier + toughness + moderate heat resistance</w:t>
            </w:r>
          </w:p>
        </w:tc>
        <w:tc>
          <w:tcPr>
            <w:tcW w:type="dxa" w:w="2721"/>
            <w:tcBorders>
              <w:top w:val="nil"/>
              <w:bottom w:val="nil"/>
            </w:tcBorders>
          </w:tcPr>
          <w:p>
            <w:pPr>
              <w:spacing w:after="10" w:before="10" w:line="240" w:lineRule="auto"/>
            </w:pPr>
            <w:r>
              <w:rPr>
                <w:rFonts w:ascii="Arial" w:hAnsi="Arial"/>
                <w:b w:val="0"/>
                <w:i w:val="0"/>
                <w:sz w:val="16"/>
              </w:rPr>
              <w:t>PLA/PBAT blends; PHA/PLA coatings</w:t>
            </w:r>
          </w:p>
        </w:tc>
      </w:tr>
      <w:tr>
        <w:tc>
          <w:tcPr>
            <w:tcW w:type="dxa" w:w="2384"/>
            <w:tcBorders>
              <w:top w:val="nil"/>
              <w:bottom w:val="nil"/>
            </w:tcBorders>
          </w:tcPr>
          <w:p>
            <w:pPr>
              <w:spacing w:after="10" w:before="10" w:line="240" w:lineRule="auto"/>
            </w:pPr>
            <w:r>
              <w:rPr>
                <w:rFonts w:ascii="Arial" w:hAnsi="Arial"/>
                <w:b w:val="0"/>
                <w:i w:val="0"/>
                <w:sz w:val="16"/>
              </w:rPr>
              <w:t>Compostable foodware / mulch film</w:t>
            </w:r>
          </w:p>
        </w:tc>
        <w:tc>
          <w:tcPr>
            <w:tcW w:type="dxa" w:w="3823"/>
            <w:tcBorders>
              <w:top w:val="nil"/>
              <w:bottom w:val="nil"/>
            </w:tcBorders>
          </w:tcPr>
          <w:p>
            <w:pPr>
              <w:spacing w:after="10" w:before="10" w:line="240" w:lineRule="auto"/>
            </w:pPr>
            <w:r>
              <w:rPr>
                <w:rFonts w:ascii="Arial" w:hAnsi="Arial"/>
                <w:b w:val="0"/>
                <w:i w:val="0"/>
                <w:sz w:val="16"/>
              </w:rPr>
              <w:t>Biodegradability matched to use timescale, not barrier</w:t>
            </w:r>
          </w:p>
        </w:tc>
        <w:tc>
          <w:tcPr>
            <w:tcW w:type="dxa" w:w="2721"/>
            <w:tcBorders>
              <w:top w:val="nil"/>
              <w:bottom w:val="nil"/>
            </w:tcBorders>
          </w:tcPr>
          <w:p>
            <w:pPr>
              <w:spacing w:after="10" w:before="10" w:line="240" w:lineRule="auto"/>
            </w:pPr>
            <w:r>
              <w:rPr>
                <w:rFonts w:ascii="Arial" w:hAnsi="Arial"/>
                <w:b w:val="0"/>
                <w:i w:val="0"/>
                <w:sz w:val="16"/>
              </w:rPr>
              <w:t>PLA, starch blends, PBAT/PLA</w:t>
            </w:r>
          </w:p>
        </w:tc>
      </w:tr>
      <w:tr>
        <w:tc>
          <w:tcPr>
            <w:tcW w:type="dxa" w:w="2384"/>
            <w:tcBorders>
              <w:top w:val="nil"/>
              <w:bottom w:val="nil"/>
            </w:tcBorders>
          </w:tcPr>
          <w:p>
            <w:pPr>
              <w:spacing w:after="10" w:before="10" w:line="240" w:lineRule="auto"/>
            </w:pPr>
            <w:r>
              <w:rPr>
                <w:rFonts w:ascii="Arial" w:hAnsi="Arial"/>
                <w:b w:val="0"/>
                <w:i w:val="0"/>
                <w:sz w:val="16"/>
              </w:rPr>
              <w:t>Sutures / drug release / scaffolds</w:t>
            </w:r>
          </w:p>
        </w:tc>
        <w:tc>
          <w:tcPr>
            <w:tcW w:type="dxa" w:w="3823"/>
            <w:tcBorders>
              <w:top w:val="nil"/>
              <w:bottom w:val="nil"/>
            </w:tcBorders>
          </w:tcPr>
          <w:p>
            <w:pPr>
              <w:spacing w:after="10" w:before="10" w:line="240" w:lineRule="auto"/>
            </w:pPr>
            <w:r>
              <w:rPr>
                <w:rFonts w:ascii="Arial" w:hAnsi="Arial"/>
                <w:b w:val="0"/>
                <w:i w:val="0"/>
                <w:sz w:val="16"/>
              </w:rPr>
              <w:t>Biocompatibility + tunable degradation rate</w:t>
            </w:r>
          </w:p>
        </w:tc>
        <w:tc>
          <w:tcPr>
            <w:tcW w:type="dxa" w:w="2721"/>
            <w:tcBorders>
              <w:top w:val="nil"/>
              <w:bottom w:val="nil"/>
            </w:tcBorders>
          </w:tcPr>
          <w:p>
            <w:pPr>
              <w:spacing w:after="10" w:before="10" w:line="240" w:lineRule="auto"/>
            </w:pPr>
            <w:r>
              <w:rPr>
                <w:rFonts w:ascii="Arial" w:hAnsi="Arial"/>
                <w:b w:val="0"/>
                <w:i w:val="0"/>
                <w:sz w:val="16"/>
              </w:rPr>
              <w:t>PGA, PLGA, collagen, alginate, chitosan</w:t>
            </w:r>
          </w:p>
        </w:tc>
      </w:tr>
      <w:tr>
        <w:tc>
          <w:tcPr>
            <w:tcW w:type="dxa" w:w="2384"/>
            <w:tcBorders>
              <w:top w:val="nil"/>
              <w:bottom w:val="nil"/>
            </w:tcBorders>
          </w:tcPr>
          <w:p>
            <w:pPr>
              <w:spacing w:after="10" w:before="10" w:line="240" w:lineRule="auto"/>
            </w:pPr>
            <w:r>
              <w:rPr>
                <w:rFonts w:ascii="Arial" w:hAnsi="Arial"/>
                <w:b w:val="0"/>
                <w:i w:val="0"/>
                <w:sz w:val="16"/>
              </w:rPr>
              <w:t>Textile fibre / electronics substrate</w:t>
            </w:r>
          </w:p>
        </w:tc>
        <w:tc>
          <w:tcPr>
            <w:tcW w:type="dxa" w:w="3823"/>
            <w:tcBorders>
              <w:top w:val="nil"/>
              <w:bottom w:val="nil"/>
            </w:tcBorders>
          </w:tcPr>
          <w:p>
            <w:pPr>
              <w:spacing w:after="10" w:before="10" w:line="240" w:lineRule="auto"/>
            </w:pPr>
            <w:r>
              <w:rPr>
                <w:rFonts w:ascii="Arial" w:hAnsi="Arial"/>
                <w:b w:val="0"/>
                <w:i w:val="0"/>
                <w:sz w:val="16"/>
              </w:rPr>
              <w:t>High stiffness/spinnability or film formability</w:t>
            </w:r>
          </w:p>
        </w:tc>
        <w:tc>
          <w:tcPr>
            <w:tcW w:type="dxa" w:w="2721"/>
            <w:tcBorders>
              <w:top w:val="nil"/>
              <w:bottom w:val="nil"/>
            </w:tcBorders>
          </w:tcPr>
          <w:p>
            <w:pPr>
              <w:spacing w:after="10" w:before="10" w:line="240" w:lineRule="auto"/>
            </w:pPr>
            <w:r>
              <w:rPr>
                <w:rFonts w:ascii="Arial" w:hAnsi="Arial"/>
                <w:b w:val="0"/>
                <w:i w:val="0"/>
                <w:sz w:val="16"/>
              </w:rPr>
              <w:t>Lyocell, PLA fibre, PHA</w:t>
            </w:r>
          </w:p>
        </w:tc>
      </w:tr>
      <w:tr>
        <w:tc>
          <w:tcPr>
            <w:tcW w:type="dxa" w:w="2384"/>
            <w:tcBorders>
              <w:top w:val="nil"/>
              <w:bottom w:val="single" w:sz="8" w:space="0" w:color="000000"/>
            </w:tcBorders>
          </w:tcPr>
          <w:p>
            <w:pPr>
              <w:spacing w:after="10" w:before="10" w:line="240" w:lineRule="auto"/>
            </w:pPr>
            <w:r>
              <w:rPr>
                <w:rFonts w:ascii="Arial" w:hAnsi="Arial"/>
                <w:b w:val="0"/>
                <w:i w:val="0"/>
                <w:sz w:val="16"/>
              </w:rPr>
              <w:t>Tyre tread / damping / conveyor belting</w:t>
            </w:r>
          </w:p>
        </w:tc>
        <w:tc>
          <w:tcPr>
            <w:tcW w:type="dxa" w:w="3823"/>
            <w:tcBorders>
              <w:top w:val="nil"/>
              <w:bottom w:val="single" w:sz="8" w:space="0" w:color="000000"/>
            </w:tcBorders>
          </w:tcPr>
          <w:p>
            <w:pPr>
              <w:spacing w:after="10" w:before="10" w:line="240" w:lineRule="auto"/>
            </w:pPr>
            <w:r>
              <w:rPr>
                <w:rFonts w:ascii="Arial" w:hAnsi="Arial"/>
                <w:b w:val="0"/>
                <w:i w:val="0"/>
                <w:sz w:val="16"/>
              </w:rPr>
              <w:t>High tensile/tear strength via SIC, or engineered wear</w:t>
            </w:r>
          </w:p>
        </w:tc>
        <w:tc>
          <w:tcPr>
            <w:tcW w:type="dxa" w:w="2721"/>
            <w:tcBorders>
              <w:top w:val="nil"/>
              <w:bottom w:val="single" w:sz="8" w:space="0" w:color="000000"/>
            </w:tcBorders>
          </w:tcPr>
          <w:p>
            <w:pPr>
              <w:spacing w:after="10" w:before="10" w:line="240" w:lineRule="auto"/>
            </w:pPr>
            <w:r>
              <w:rPr>
                <w:rFonts w:ascii="Arial" w:hAnsi="Arial"/>
                <w:b w:val="0"/>
                <w:i w:val="0"/>
                <w:sz w:val="16"/>
              </w:rPr>
              <w:t>Natural rubber, NR/SBR blends (§7.3)</w:t>
            </w:r>
          </w:p>
        </w:tc>
      </w:tr>
    </w:tbl>
    <w:p>
      <w:pPr>
        <w:spacing w:after="0" w:line="240" w:lineRule="auto"/>
      </w:pPr>
    </w:p>
    <w:p>
      <w:pPr>
        <w:pStyle w:val="Heading1"/>
      </w:pPr>
      <w:r>
        <w:t>9. Current Status, Challenges and Outlook</w:t>
      </w:r>
    </w:p>
    <w:p>
      <w:pPr>
        <w:jc w:val="both"/>
      </w:pPr>
      <w:r>
        <w:rPr>
          <w:b w:val="0"/>
          <w:i w:val="0"/>
        </w:rPr>
        <w:t>Global bio-based plastics capacity was ~2.31 Mt in 2025 — under 1% of all plastics — and is projected to double by 2030, growth concentrated in bio-based PE/PP and PHA despite PHA remaining the priciest (§7.2) [16]. The bottlenecks are the three properties organising §5 — processing window, humidity dependence, batch variability — none solved by scale alone. Two directions look most promising: enzymatic depolymerisation to monomer (recent enzyme cocktails recovered ~60% of the lactic acid from post-consumer PLA in 72 h [17]); and ⚙️ data-driven property prediction (QSPR / polymer-informatics ML [56]) to shorten the trial-and-error of matching backbone chemistry to a processing window.</w:t>
      </w:r>
    </w:p>
    <w:p>
      <w:pPr>
        <w:pStyle w:val="Heading1"/>
      </w:pPr>
      <w:r>
        <w:t>10. Conclusions</w:t>
      </w:r>
    </w:p>
    <w:p>
      <w:pPr>
        <w:jc w:val="both"/>
      </w:pPr>
      <w:r>
        <w:rPr>
          <w:b w:val="0"/>
          <w:i w:val="0"/>
        </w:rPr>
        <w:t>Three judgements follow. First, the performance ceiling is set by thermal and hygroscopic behaviour (§5.1, §5.3), not mechanical strength (§5.2): most families meet or exceed synthetic-polymer stiffness and fail instead on processing window and moisture. Second, crystallinity governs the whole trade-off (§5.4) — the feature that supplies stiffness, blocks water uptake and blocks degradative attack, so raising one lowers the other two; the NR/SBR case study (§7.3) shows the same trade-off reached through formulation, not backbone chemistry alone. Third, molecular-weight data are comparable only alongside their measurement method (§4), and the features that make MW hard to measure — hydrogen bonding, branching, sequence specificity, agricultural sourcing — are the same ones used throughout to explain performance.</w:t>
      </w:r>
    </w:p>
    <w:p>
      <w:pPr>
        <w:pStyle w:val="Heading1"/>
      </w:pPr>
      <w:r>
        <w:t>References *(56 entries, all DOI-verified via Crossref; assignment requires 50–60)*</w:t>
      </w:r>
    </w:p>
    <w:p>
      <w:pPr>
        <w:spacing w:line="240" w:lineRule="auto" w:after="80"/>
        <w:jc w:val="both"/>
      </w:pPr>
      <w:r>
        <w:rPr>
          <w:b w:val="0"/>
          <w:i w:val="0"/>
        </w:rPr>
        <w:t xml:space="preserve">1. Vert, M.; Doi, Y.; Hellwich, K.-H.; Hess, M.; Hodge, P.; Kubisa, P.; Rinaudo, M.; Schué, F. Terminology for biorelated polymers and applications (IUPAC Recommendations 2012). </w:t>
      </w:r>
      <w:r>
        <w:rPr>
          <w:i/>
        </w:rPr>
        <w:t>Pure Appl. Chem.</w:t>
      </w:r>
      <w:r>
        <w:rPr>
          <w:b w:val="0"/>
          <w:i w:val="0"/>
        </w:rPr>
        <w:t xml:space="preserve"> </w:t>
      </w:r>
      <w:r>
        <w:rPr>
          <w:b/>
          <w:i w:val="0"/>
        </w:rPr>
        <w:t>2012</w:t>
      </w:r>
      <w:r>
        <w:rPr>
          <w:b w:val="0"/>
          <w:i w:val="0"/>
        </w:rPr>
        <w:t xml:space="preserve">, </w:t>
      </w:r>
      <w:r>
        <w:rPr>
          <w:i/>
        </w:rPr>
        <w:t>84</w:t>
      </w:r>
      <w:r>
        <w:rPr>
          <w:b w:val="0"/>
          <w:i w:val="0"/>
        </w:rPr>
        <w:t>, 377–410. DOI: 10.1351/PAC-REC-10-12-04.</w:t>
      </w:r>
    </w:p>
    <w:p>
      <w:pPr>
        <w:spacing w:line="240" w:lineRule="auto" w:after="80"/>
        <w:jc w:val="both"/>
      </w:pPr>
      <w:r>
        <w:rPr>
          <w:b w:val="0"/>
          <w:i w:val="0"/>
        </w:rPr>
        <w:t xml:space="preserve">2. Rostamabadi, H.; Bist, Y.; Kumar, Y.; Yildirim-Yalcin, M.; Ceyhan, T.; Falsafi, S. R. Cellulose nanofibers, nanocrystals, and bacterial nanocellulose: Fabrication, characterization, and their most recent applications. </w:t>
      </w:r>
      <w:r>
        <w:rPr>
          <w:i/>
        </w:rPr>
        <w:t>Future Postharvest Food</w:t>
      </w:r>
      <w:r>
        <w:rPr>
          <w:b w:val="0"/>
          <w:i w:val="0"/>
        </w:rPr>
        <w:t xml:space="preserve"> </w:t>
      </w:r>
      <w:r>
        <w:rPr>
          <w:b/>
          <w:i w:val="0"/>
        </w:rPr>
        <w:t>2024</w:t>
      </w:r>
      <w:r>
        <w:rPr>
          <w:b w:val="0"/>
          <w:i w:val="0"/>
        </w:rPr>
        <w:t xml:space="preserve">, </w:t>
      </w:r>
      <w:r>
        <w:rPr>
          <w:i/>
        </w:rPr>
        <w:t>1</w:t>
      </w:r>
      <w:r>
        <w:rPr>
          <w:b w:val="0"/>
          <w:i w:val="0"/>
        </w:rPr>
        <w:t>, 5–33. DOI: 10.1002/fpf2.12001.</w:t>
      </w:r>
    </w:p>
    <w:p>
      <w:pPr>
        <w:spacing w:line="240" w:lineRule="auto" w:after="80"/>
        <w:jc w:val="both"/>
      </w:pPr>
      <w:r>
        <w:rPr>
          <w:b w:val="0"/>
          <w:i w:val="0"/>
        </w:rPr>
        <w:t xml:space="preserve">3. Hwang, K. T.; Jung, S. T.; Lee, G. D.; Chinnan, M. S.; Park, Y. S.; Park, H. J. Controlling molecular weight and degree of deacetylation of chitosan by response surface methodology. </w:t>
      </w:r>
      <w:r>
        <w:rPr>
          <w:i/>
        </w:rPr>
        <w:t>J. Agric. Food Chem.</w:t>
      </w:r>
      <w:r>
        <w:rPr>
          <w:b w:val="0"/>
          <w:i w:val="0"/>
        </w:rPr>
        <w:t xml:space="preserve"> </w:t>
      </w:r>
      <w:r>
        <w:rPr>
          <w:b/>
          <w:i w:val="0"/>
        </w:rPr>
        <w:t>2002</w:t>
      </w:r>
      <w:r>
        <w:rPr>
          <w:b w:val="0"/>
          <w:i w:val="0"/>
        </w:rPr>
        <w:t xml:space="preserve">, </w:t>
      </w:r>
      <w:r>
        <w:rPr>
          <w:i/>
        </w:rPr>
        <w:t>50</w:t>
      </w:r>
      <w:r>
        <w:rPr>
          <w:b w:val="0"/>
          <w:i w:val="0"/>
        </w:rPr>
        <w:t>, 1876–1882. DOI: 10.1021/jf011167u.</w:t>
      </w:r>
    </w:p>
    <w:p>
      <w:pPr>
        <w:spacing w:line="240" w:lineRule="auto" w:after="80"/>
        <w:jc w:val="both"/>
      </w:pPr>
      <w:r>
        <w:rPr>
          <w:b w:val="0"/>
          <w:i w:val="0"/>
        </w:rPr>
        <w:t xml:space="preserve">4. Cao, L.; Lu, W.; Mata, A.; Nishinari, K.; Fang, Y. Egg-box model-based gelation of alginate and pectin: A review. </w:t>
      </w:r>
      <w:r>
        <w:rPr>
          <w:i/>
        </w:rPr>
        <w:t>Carbohydr. Polym.</w:t>
      </w:r>
      <w:r>
        <w:rPr>
          <w:b w:val="0"/>
          <w:i w:val="0"/>
        </w:rPr>
        <w:t xml:space="preserve"> </w:t>
      </w:r>
      <w:r>
        <w:rPr>
          <w:b/>
          <w:i w:val="0"/>
        </w:rPr>
        <w:t>2020</w:t>
      </w:r>
      <w:r>
        <w:rPr>
          <w:b w:val="0"/>
          <w:i w:val="0"/>
        </w:rPr>
        <w:t xml:space="preserve">, </w:t>
      </w:r>
      <w:r>
        <w:rPr>
          <w:i/>
        </w:rPr>
        <w:t>242</w:t>
      </w:r>
      <w:r>
        <w:rPr>
          <w:b w:val="0"/>
          <w:i w:val="0"/>
        </w:rPr>
        <w:t>, 116389. DOI: 10.1016/j.carbpol.2020.116389.</w:t>
      </w:r>
    </w:p>
    <w:p>
      <w:pPr>
        <w:spacing w:line="240" w:lineRule="auto" w:after="80"/>
        <w:jc w:val="both"/>
      </w:pPr>
      <w:r>
        <w:rPr>
          <w:b w:val="0"/>
          <w:i w:val="0"/>
        </w:rPr>
        <w:t xml:space="preserve">5. Ariffin, H.; Nishida, H.; Shirai, Y.; Hassan, M. A. Determination of multiple thermal degradation mechanisms of poly(3-hydroxybutyrate). </w:t>
      </w:r>
      <w:r>
        <w:rPr>
          <w:i/>
        </w:rPr>
        <w:t>Polym. Degrad. Stab.</w:t>
      </w:r>
      <w:r>
        <w:rPr>
          <w:b w:val="0"/>
          <w:i w:val="0"/>
        </w:rPr>
        <w:t xml:space="preserve"> </w:t>
      </w:r>
      <w:r>
        <w:rPr>
          <w:b/>
          <w:i w:val="0"/>
        </w:rPr>
        <w:t>2008</w:t>
      </w:r>
      <w:r>
        <w:rPr>
          <w:b w:val="0"/>
          <w:i w:val="0"/>
        </w:rPr>
        <w:t xml:space="preserve">, </w:t>
      </w:r>
      <w:r>
        <w:rPr>
          <w:i/>
        </w:rPr>
        <w:t>93</w:t>
      </w:r>
      <w:r>
        <w:rPr>
          <w:b w:val="0"/>
          <w:i w:val="0"/>
        </w:rPr>
        <w:t>, 1433–1439. DOI: 10.1016/j.polymdegradstab.2008.05.020.</w:t>
      </w:r>
    </w:p>
    <w:p>
      <w:pPr>
        <w:spacing w:line="240" w:lineRule="auto" w:after="80"/>
        <w:jc w:val="both"/>
      </w:pPr>
      <w:r>
        <w:rPr>
          <w:b w:val="0"/>
          <w:i w:val="0"/>
        </w:rPr>
        <w:t xml:space="preserve">6. Tsuji, H. Poly(lactide) stereocomplexes: formation, structure, properties, degradation, and applications. </w:t>
      </w:r>
      <w:r>
        <w:rPr>
          <w:i/>
        </w:rPr>
        <w:t>Macromol. Biosci.</w:t>
      </w:r>
      <w:r>
        <w:rPr>
          <w:b w:val="0"/>
          <w:i w:val="0"/>
        </w:rPr>
        <w:t xml:space="preserve"> </w:t>
      </w:r>
      <w:r>
        <w:rPr>
          <w:b/>
          <w:i w:val="0"/>
        </w:rPr>
        <w:t>2005</w:t>
      </w:r>
      <w:r>
        <w:rPr>
          <w:b w:val="0"/>
          <w:i w:val="0"/>
        </w:rPr>
        <w:t xml:space="preserve">, </w:t>
      </w:r>
      <w:r>
        <w:rPr>
          <w:i/>
        </w:rPr>
        <w:t>5</w:t>
      </w:r>
      <w:r>
        <w:rPr>
          <w:b w:val="0"/>
          <w:i w:val="0"/>
        </w:rPr>
        <w:t>, 569–597. DOI: 10.1002/mabi.200500062.</w:t>
      </w:r>
    </w:p>
    <w:p>
      <w:pPr>
        <w:spacing w:line="240" w:lineRule="auto" w:after="80"/>
        <w:jc w:val="both"/>
      </w:pPr>
      <w:r>
        <w:rPr>
          <w:b w:val="0"/>
          <w:i w:val="0"/>
        </w:rPr>
        <w:t xml:space="preserve">7. Luo, F.; Fortenberry, A.; Ren, J.; Qiang, Z. Recent progress in enhancing poly(lactic acid) stereocomplex formation for material property improvement. </w:t>
      </w:r>
      <w:r>
        <w:rPr>
          <w:i/>
        </w:rPr>
        <w:t>Front. Chem.</w:t>
      </w:r>
      <w:r>
        <w:rPr>
          <w:b w:val="0"/>
          <w:i w:val="0"/>
        </w:rPr>
        <w:t xml:space="preserve"> </w:t>
      </w:r>
      <w:r>
        <w:rPr>
          <w:b/>
          <w:i w:val="0"/>
        </w:rPr>
        <w:t>2020</w:t>
      </w:r>
      <w:r>
        <w:rPr>
          <w:b w:val="0"/>
          <w:i w:val="0"/>
        </w:rPr>
        <w:t xml:space="preserve">, </w:t>
      </w:r>
      <w:r>
        <w:rPr>
          <w:i/>
        </w:rPr>
        <w:t>8</w:t>
      </w:r>
      <w:r>
        <w:rPr>
          <w:b w:val="0"/>
          <w:i w:val="0"/>
        </w:rPr>
        <w:t>, 688. DOI: 10.3389/fchem.2020.00688.</w:t>
      </w:r>
    </w:p>
    <w:p>
      <w:pPr>
        <w:spacing w:line="240" w:lineRule="auto" w:after="80"/>
        <w:jc w:val="both"/>
      </w:pPr>
      <w:r>
        <w:rPr>
          <w:b w:val="0"/>
          <w:i w:val="0"/>
        </w:rPr>
        <w:t xml:space="preserve">8. Keten, S.; Xu, Z.; Ihle, B.; Buehler, M. J. Nanoconfinement controls stiffness, strength and mechanical toughness of β-sheet crystals in silk. </w:t>
      </w:r>
      <w:r>
        <w:rPr>
          <w:i/>
        </w:rPr>
        <w:t>Nat. Mater.</w:t>
      </w:r>
      <w:r>
        <w:rPr>
          <w:b w:val="0"/>
          <w:i w:val="0"/>
        </w:rPr>
        <w:t xml:space="preserve"> </w:t>
      </w:r>
      <w:r>
        <w:rPr>
          <w:b/>
          <w:i w:val="0"/>
        </w:rPr>
        <w:t>2010</w:t>
      </w:r>
      <w:r>
        <w:rPr>
          <w:b w:val="0"/>
          <w:i w:val="0"/>
        </w:rPr>
        <w:t xml:space="preserve">, </w:t>
      </w:r>
      <w:r>
        <w:rPr>
          <w:i/>
        </w:rPr>
        <w:t>9</w:t>
      </w:r>
      <w:r>
        <w:rPr>
          <w:b w:val="0"/>
          <w:i w:val="0"/>
        </w:rPr>
        <w:t>, 359–367. DOI: 10.1038/nmat2704.</w:t>
      </w:r>
    </w:p>
    <w:p>
      <w:pPr>
        <w:spacing w:line="240" w:lineRule="auto" w:after="80"/>
        <w:jc w:val="both"/>
      </w:pPr>
      <w:r>
        <w:rPr>
          <w:b w:val="0"/>
          <w:i w:val="0"/>
        </w:rPr>
        <w:t xml:space="preserve">9. Odili, C. C.; Ajibola, A. M.; Sojobi, J. W.; et al. Chemistry of lignin. In </w:t>
      </w:r>
      <w:r>
        <w:rPr>
          <w:i/>
        </w:rPr>
        <w:t>Lignin Renewable Materials — Chemistry, Trends, Technology and Application</w:t>
      </w:r>
      <w:r>
        <w:rPr>
          <w:b w:val="0"/>
          <w:i w:val="0"/>
        </w:rPr>
        <w:t>; Ngo, T.-D., Ahvazi, B., Eds.; IntechOpen, 2025. DOI: 10.5772/intechopen.1013010.</w:t>
      </w:r>
    </w:p>
    <w:p>
      <w:pPr>
        <w:spacing w:line="240" w:lineRule="auto" w:after="80"/>
        <w:jc w:val="both"/>
      </w:pPr>
      <w:r>
        <w:rPr>
          <w:b w:val="0"/>
          <w:i w:val="0"/>
        </w:rPr>
        <w:t xml:space="preserve">10. Huneau, B. Strain-induced crystallization of natural rubber: a review of X-ray diffraction investigations. </w:t>
      </w:r>
      <w:r>
        <w:rPr>
          <w:i/>
        </w:rPr>
        <w:t>Rubber Chem. Technol.</w:t>
      </w:r>
      <w:r>
        <w:rPr>
          <w:b w:val="0"/>
          <w:i w:val="0"/>
        </w:rPr>
        <w:t xml:space="preserve"> </w:t>
      </w:r>
      <w:r>
        <w:rPr>
          <w:b/>
          <w:i w:val="0"/>
        </w:rPr>
        <w:t>2011</w:t>
      </w:r>
      <w:r>
        <w:rPr>
          <w:b w:val="0"/>
          <w:i w:val="0"/>
        </w:rPr>
        <w:t xml:space="preserve">, </w:t>
      </w:r>
      <w:r>
        <w:rPr>
          <w:i/>
        </w:rPr>
        <w:t>84</w:t>
      </w:r>
      <w:r>
        <w:rPr>
          <w:b w:val="0"/>
          <w:i w:val="0"/>
        </w:rPr>
        <w:t>, 425–452. DOI: 10.5254/1.3601131.</w:t>
      </w:r>
    </w:p>
    <w:p>
      <w:pPr>
        <w:spacing w:line="240" w:lineRule="auto" w:after="80"/>
        <w:jc w:val="both"/>
      </w:pPr>
      <w:r>
        <w:rPr>
          <w:b w:val="0"/>
          <w:i w:val="0"/>
        </w:rPr>
        <w:t xml:space="preserve">11. de Beukelaer, H.; Hilhorst, M.; Workala, Y.; Maaskant, E.; Post, W. Overview of the mechanical, thermal and barrier properties of biobased and/or biodegradable thermoplastic materials. </w:t>
      </w:r>
      <w:r>
        <w:rPr>
          <w:i/>
        </w:rPr>
        <w:t>Polym. Test.</w:t>
      </w:r>
      <w:r>
        <w:rPr>
          <w:b w:val="0"/>
          <w:i w:val="0"/>
        </w:rPr>
        <w:t xml:space="preserve"> </w:t>
      </w:r>
      <w:r>
        <w:rPr>
          <w:b/>
          <w:i w:val="0"/>
        </w:rPr>
        <w:t>2022</w:t>
      </w:r>
      <w:r>
        <w:rPr>
          <w:b w:val="0"/>
          <w:i w:val="0"/>
        </w:rPr>
        <w:t xml:space="preserve">, </w:t>
      </w:r>
      <w:r>
        <w:rPr>
          <w:i/>
        </w:rPr>
        <w:t>116</w:t>
      </w:r>
      <w:r>
        <w:rPr>
          <w:b w:val="0"/>
          <w:i w:val="0"/>
        </w:rPr>
        <w:t>, 107803. DOI: 10.1016/j.polymertesting.2022.107803.</w:t>
      </w:r>
    </w:p>
    <w:p>
      <w:pPr>
        <w:spacing w:line="240" w:lineRule="auto" w:after="80"/>
        <w:jc w:val="both"/>
      </w:pPr>
      <w:r>
        <w:rPr>
          <w:b w:val="0"/>
          <w:i w:val="0"/>
        </w:rPr>
        <w:t xml:space="preserve">12. Aliotta, L.; Seggiani, M.; Lazzeri, A.; Gigante, V.; Cinelli, P. A brief review of poly(butylene succinate) (PBS) and its main copolymers: synthesis, blends, composites, biodegradability, and applications. </w:t>
      </w:r>
      <w:r>
        <w:rPr>
          <w:i/>
        </w:rPr>
        <w:t>Polymers</w:t>
      </w:r>
      <w:r>
        <w:rPr>
          <w:b w:val="0"/>
          <w:i w:val="0"/>
        </w:rPr>
        <w:t xml:space="preserve"> </w:t>
      </w:r>
      <w:r>
        <w:rPr>
          <w:b/>
          <w:i w:val="0"/>
        </w:rPr>
        <w:t>2022</w:t>
      </w:r>
      <w:r>
        <w:rPr>
          <w:b w:val="0"/>
          <w:i w:val="0"/>
        </w:rPr>
        <w:t xml:space="preserve">, </w:t>
      </w:r>
      <w:r>
        <w:rPr>
          <w:i/>
        </w:rPr>
        <w:t>14</w:t>
      </w:r>
      <w:r>
        <w:rPr>
          <w:b w:val="0"/>
          <w:i w:val="0"/>
        </w:rPr>
        <w:t>, 844. DOI: 10.3390/polym14040844.</w:t>
      </w:r>
    </w:p>
    <w:p>
      <w:pPr>
        <w:spacing w:line="240" w:lineRule="auto" w:after="80"/>
        <w:jc w:val="both"/>
      </w:pPr>
      <w:r>
        <w:rPr>
          <w:b w:val="0"/>
          <w:i w:val="0"/>
        </w:rPr>
        <w:t xml:space="preserve">13. Zhao, X.; Liu, J.; Li, J.; Liang, X.; Zhou, W.; Peng, S. Strategies and techniques for improving heat resistance and mechanical performances of poly(lactic acid) (PLA) biodegradable materials. </w:t>
      </w:r>
      <w:r>
        <w:rPr>
          <w:i/>
        </w:rPr>
        <w:t>Int. J. Biol. Macromol.</w:t>
      </w:r>
      <w:r>
        <w:rPr>
          <w:b w:val="0"/>
          <w:i w:val="0"/>
        </w:rPr>
        <w:t xml:space="preserve"> </w:t>
      </w:r>
      <w:r>
        <w:rPr>
          <w:b/>
          <w:i w:val="0"/>
        </w:rPr>
        <w:t>2022</w:t>
      </w:r>
      <w:r>
        <w:rPr>
          <w:b w:val="0"/>
          <w:i w:val="0"/>
        </w:rPr>
        <w:t xml:space="preserve">, </w:t>
      </w:r>
      <w:r>
        <w:rPr>
          <w:i/>
        </w:rPr>
        <w:t>218</w:t>
      </w:r>
      <w:r>
        <w:rPr>
          <w:b w:val="0"/>
          <w:i w:val="0"/>
        </w:rPr>
        <w:t>, 115–134. DOI: 10.1016/j.ijbiomac.2022.07.091.</w:t>
      </w:r>
    </w:p>
    <w:p>
      <w:pPr>
        <w:spacing w:line="240" w:lineRule="auto" w:after="80"/>
        <w:jc w:val="both"/>
      </w:pPr>
      <w:r>
        <w:rPr>
          <w:b w:val="0"/>
          <w:i w:val="0"/>
        </w:rPr>
        <w:t xml:space="preserve">14. McCurdy, C.; Dixion, D.; Archer, E.; Dooher, T.; Edwards, I. A comparison of the sealing, forming and moisture vapour transmission properties of polylactic acid (PLA), polyethene (PE) and polyethylene terephthalate (PET) coated boards for packaging applications. </w:t>
      </w:r>
      <w:r>
        <w:rPr>
          <w:i/>
        </w:rPr>
        <w:t>J. Packag. Technol. Res.</w:t>
      </w:r>
      <w:r>
        <w:rPr>
          <w:b w:val="0"/>
          <w:i w:val="0"/>
        </w:rPr>
        <w:t xml:space="preserve"> </w:t>
      </w:r>
      <w:r>
        <w:rPr>
          <w:b/>
          <w:i w:val="0"/>
        </w:rPr>
        <w:t>2022</w:t>
      </w:r>
      <w:r>
        <w:rPr>
          <w:b w:val="0"/>
          <w:i w:val="0"/>
        </w:rPr>
        <w:t xml:space="preserve">, </w:t>
      </w:r>
      <w:r>
        <w:rPr>
          <w:i/>
        </w:rPr>
        <w:t>6</w:t>
      </w:r>
      <w:r>
        <w:rPr>
          <w:b w:val="0"/>
          <w:i w:val="0"/>
        </w:rPr>
        <w:t>, 91–100. DOI: 10.1007/s41783-022-00131-w.</w:t>
      </w:r>
    </w:p>
    <w:p>
      <w:pPr>
        <w:spacing w:line="240" w:lineRule="auto" w:after="80"/>
        <w:jc w:val="both"/>
      </w:pPr>
      <w:r>
        <w:rPr>
          <w:b w:val="0"/>
          <w:i w:val="0"/>
        </w:rPr>
        <w:t xml:space="preserve">15. Thoden van Velzen, E. U.; Chu, S.; Molenveld, K.; Jašo, V. Effect of poly lactic acid trays on the optical and thermal properties of recycled poly(ethylene terephthalate). </w:t>
      </w:r>
      <w:r>
        <w:rPr>
          <w:i/>
        </w:rPr>
        <w:t>Packag. Technol. Sci.</w:t>
      </w:r>
      <w:r>
        <w:rPr>
          <w:b w:val="0"/>
          <w:i w:val="0"/>
        </w:rPr>
        <w:t xml:space="preserve"> </w:t>
      </w:r>
      <w:r>
        <w:rPr>
          <w:b/>
          <w:i w:val="0"/>
        </w:rPr>
        <w:t>2022</w:t>
      </w:r>
      <w:r>
        <w:rPr>
          <w:b w:val="0"/>
          <w:i w:val="0"/>
        </w:rPr>
        <w:t xml:space="preserve">, </w:t>
      </w:r>
      <w:r>
        <w:rPr>
          <w:i/>
        </w:rPr>
        <w:t>35</w:t>
      </w:r>
      <w:r>
        <w:rPr>
          <w:b w:val="0"/>
          <w:i w:val="0"/>
        </w:rPr>
        <w:t>, 351–360. DOI: 10.1002/pts.2633.</w:t>
      </w:r>
    </w:p>
    <w:p>
      <w:pPr>
        <w:spacing w:line="240" w:lineRule="auto" w:after="80"/>
        <w:jc w:val="both"/>
      </w:pPr>
      <w:r>
        <w:rPr>
          <w:b w:val="0"/>
          <w:i w:val="0"/>
        </w:rPr>
        <w:t xml:space="preserve">16. European Bioplastics; nova-Institute. </w:t>
      </w:r>
      <w:r>
        <w:rPr>
          <w:i/>
        </w:rPr>
        <w:t>Bioplastics Market Development Update 2025</w:t>
      </w:r>
      <w:r>
        <w:rPr>
          <w:b w:val="0"/>
          <w:i w:val="0"/>
        </w:rPr>
        <w:t>; European Bioplastics e.V.: Berlin, December 2025. Available at: docs.european-bioplastics.org/publications/market_data/2025/EUBP_Market_Data_Report_2025.pdf</w:t>
      </w:r>
    </w:p>
    <w:p>
      <w:pPr>
        <w:spacing w:line="240" w:lineRule="auto" w:after="80"/>
        <w:jc w:val="both"/>
      </w:pPr>
      <w:r>
        <w:rPr>
          <w:b w:val="0"/>
          <w:i w:val="0"/>
        </w:rPr>
        <w:t xml:space="preserve">17. Salini, A.; Gonnelli, P. M.; Padoan, C.; Helali, Y.; Waeytens, J.; Fusco, S.; Cannella, D. Repurposing commercial hydrolytic and oxidative enzymes toward synergistic PLA depolymerization. </w:t>
      </w:r>
      <w:r>
        <w:rPr>
          <w:i/>
        </w:rPr>
        <w:t>ACS Sustain. Chem. Eng.</w:t>
      </w:r>
      <w:r>
        <w:rPr>
          <w:b w:val="0"/>
          <w:i w:val="0"/>
        </w:rPr>
        <w:t xml:space="preserve"> </w:t>
      </w:r>
      <w:r>
        <w:rPr>
          <w:b/>
          <w:i w:val="0"/>
        </w:rPr>
        <w:t>2025</w:t>
      </w:r>
      <w:r>
        <w:rPr>
          <w:b w:val="0"/>
          <w:i w:val="0"/>
        </w:rPr>
        <w:t xml:space="preserve">, </w:t>
      </w:r>
      <w:r>
        <w:rPr>
          <w:i/>
        </w:rPr>
        <w:t>13</w:t>
      </w:r>
      <w:r>
        <w:rPr>
          <w:b w:val="0"/>
          <w:i w:val="0"/>
        </w:rPr>
        <w:t>, 20705–20716. DOI: 10.1021/acssuschemeng.5c06901.</w:t>
      </w:r>
    </w:p>
    <w:p>
      <w:pPr>
        <w:spacing w:line="240" w:lineRule="auto" w:after="80"/>
        <w:jc w:val="both"/>
      </w:pPr>
      <w:r>
        <w:rPr>
          <w:b w:val="0"/>
          <w:i w:val="0"/>
        </w:rPr>
        <w:t xml:space="preserve">18. Huang, S.-Q.; et al. Revealing the structure-property difference of natural rubber prepared by different methods: protein and gel content are key factors. </w:t>
      </w:r>
      <w:r>
        <w:rPr>
          <w:i/>
        </w:rPr>
        <w:t>Chin. J. Polym. Sci.</w:t>
      </w:r>
      <w:r>
        <w:rPr>
          <w:b w:val="0"/>
          <w:i w:val="0"/>
        </w:rPr>
        <w:t xml:space="preserve"> </w:t>
      </w:r>
      <w:r>
        <w:rPr>
          <w:b/>
          <w:i w:val="0"/>
        </w:rPr>
        <w:t>2024</w:t>
      </w:r>
      <w:r>
        <w:rPr>
          <w:b w:val="0"/>
          <w:i w:val="0"/>
        </w:rPr>
        <w:t xml:space="preserve">, </w:t>
      </w:r>
      <w:r>
        <w:rPr>
          <w:i/>
        </w:rPr>
        <w:t>42</w:t>
      </w:r>
      <w:r>
        <w:rPr>
          <w:b w:val="0"/>
          <w:i w:val="0"/>
        </w:rPr>
        <w:t>, 457–467. DOI: 10.1007/s10118-024-3071-2.</w:t>
      </w:r>
    </w:p>
    <w:p>
      <w:pPr>
        <w:spacing w:line="240" w:lineRule="auto" w:after="80"/>
        <w:jc w:val="both"/>
      </w:pPr>
      <w:r>
        <w:rPr>
          <w:b w:val="0"/>
          <w:i w:val="0"/>
        </w:rPr>
        <w:t xml:space="preserve">19. Xin, S.; et al. Comparative analysis of latex transcriptomes reveals the potential mechanisms underlying rubber molecular weight variations between </w:t>
      </w:r>
      <w:r>
        <w:rPr>
          <w:i/>
        </w:rPr>
        <w:t>Hevea brasiliensis</w:t>
      </w:r>
      <w:r>
        <w:rPr>
          <w:b w:val="0"/>
          <w:i w:val="0"/>
        </w:rPr>
        <w:t xml:space="preserve"> clones RRIM600 and Reyan7-33-97. </w:t>
      </w:r>
      <w:r>
        <w:rPr>
          <w:i/>
        </w:rPr>
        <w:t>BMC Plant Biol.</w:t>
      </w:r>
      <w:r>
        <w:rPr>
          <w:b w:val="0"/>
          <w:i w:val="0"/>
        </w:rPr>
        <w:t xml:space="preserve"> </w:t>
      </w:r>
      <w:r>
        <w:rPr>
          <w:b/>
          <w:i w:val="0"/>
        </w:rPr>
        <w:t>2021</w:t>
      </w:r>
      <w:r>
        <w:rPr>
          <w:b w:val="0"/>
          <w:i w:val="0"/>
        </w:rPr>
        <w:t xml:space="preserve">, </w:t>
      </w:r>
      <w:r>
        <w:rPr>
          <w:i/>
        </w:rPr>
        <w:t>21</w:t>
      </w:r>
      <w:r>
        <w:rPr>
          <w:b w:val="0"/>
          <w:i w:val="0"/>
        </w:rPr>
        <w:t>, 244. DOI: 10.1186/s12870-021-03022-5.</w:t>
      </w:r>
    </w:p>
    <w:p>
      <w:pPr>
        <w:spacing w:line="240" w:lineRule="auto" w:after="80"/>
        <w:jc w:val="both"/>
      </w:pPr>
      <w:r>
        <w:rPr>
          <w:b w:val="0"/>
          <w:i w:val="0"/>
        </w:rPr>
        <w:t xml:space="preserve">20. Dhanorkar, R. J.; et al. Synthesis of functionalized styrene butadiene rubber and its applications in S-SBR–silica composites for high-performance tire applications. </w:t>
      </w:r>
      <w:r>
        <w:rPr>
          <w:i/>
        </w:rPr>
        <w:t>Ind. Eng. Chem. Res.</w:t>
      </w:r>
      <w:r>
        <w:rPr>
          <w:b w:val="0"/>
          <w:i w:val="0"/>
        </w:rPr>
        <w:t xml:space="preserve"> </w:t>
      </w:r>
      <w:r>
        <w:rPr>
          <w:b/>
          <w:i w:val="0"/>
        </w:rPr>
        <w:t>2021</w:t>
      </w:r>
      <w:r>
        <w:rPr>
          <w:b w:val="0"/>
          <w:i w:val="0"/>
        </w:rPr>
        <w:t xml:space="preserve">, </w:t>
      </w:r>
      <w:r>
        <w:rPr>
          <w:i/>
        </w:rPr>
        <w:t>60</w:t>
      </w:r>
      <w:r>
        <w:rPr>
          <w:b w:val="0"/>
          <w:i w:val="0"/>
        </w:rPr>
        <w:t>, 4517–4535. DOI: 10.1021/acs.iecr.0c06155.</w:t>
      </w:r>
    </w:p>
    <w:p>
      <w:pPr>
        <w:spacing w:line="240" w:lineRule="auto" w:after="80"/>
        <w:jc w:val="both"/>
      </w:pPr>
      <w:r>
        <w:rPr>
          <w:b w:val="0"/>
          <w:i w:val="0"/>
        </w:rPr>
        <w:t xml:space="preserve">21. Zubov, A.; Pokorny, J.; Kosek, J. Styrene–butadiene rubber (SBR) production by emulsion polymerization: dynamic modeling and intensification of the process. </w:t>
      </w:r>
      <w:r>
        <w:rPr>
          <w:i/>
        </w:rPr>
        <w:t>Chem. Eng. J.</w:t>
      </w:r>
      <w:r>
        <w:rPr>
          <w:b w:val="0"/>
          <w:i w:val="0"/>
        </w:rPr>
        <w:t xml:space="preserve"> </w:t>
      </w:r>
      <w:r>
        <w:rPr>
          <w:b/>
          <w:i w:val="0"/>
        </w:rPr>
        <w:t>2012</w:t>
      </w:r>
      <w:r>
        <w:rPr>
          <w:b w:val="0"/>
          <w:i w:val="0"/>
        </w:rPr>
        <w:t xml:space="preserve">, </w:t>
      </w:r>
      <w:r>
        <w:rPr>
          <w:i/>
        </w:rPr>
        <w:t>207–208</w:t>
      </w:r>
      <w:r>
        <w:rPr>
          <w:b w:val="0"/>
          <w:i w:val="0"/>
        </w:rPr>
        <w:t>, 414–420. DOI: 10.1016/j.cej.2012.06.144.</w:t>
      </w:r>
    </w:p>
    <w:p>
      <w:pPr>
        <w:spacing w:line="240" w:lineRule="auto" w:after="80"/>
        <w:jc w:val="both"/>
      </w:pPr>
      <w:r>
        <w:rPr>
          <w:b w:val="0"/>
          <w:i w:val="0"/>
        </w:rPr>
        <w:t xml:space="preserve">22. Singer, R.; Ollick, A. M.; Elhadary, M.; El-Sherbiny, I. M.; Gomma, A. Comparative study of natural rubber and styrene-butadiene rubber blends reinforced with different carbon black grades for tire tread production. </w:t>
      </w:r>
      <w:r>
        <w:rPr>
          <w:i/>
        </w:rPr>
        <w:t>Sci. Rep.</w:t>
      </w:r>
      <w:r>
        <w:rPr>
          <w:b w:val="0"/>
          <w:i w:val="0"/>
        </w:rPr>
        <w:t xml:space="preserve"> </w:t>
      </w:r>
      <w:r>
        <w:rPr>
          <w:b/>
          <w:i w:val="0"/>
        </w:rPr>
        <w:t>2026</w:t>
      </w:r>
      <w:r>
        <w:rPr>
          <w:b w:val="0"/>
          <w:i w:val="0"/>
        </w:rPr>
        <w:t xml:space="preserve">, </w:t>
      </w:r>
      <w:r>
        <w:rPr>
          <w:i/>
        </w:rPr>
        <w:t>16</w:t>
      </w:r>
      <w:r>
        <w:rPr>
          <w:b w:val="0"/>
          <w:i w:val="0"/>
        </w:rPr>
        <w:t>, 24902. DOI: 10.1038/s41598-026-65435-2.</w:t>
      </w:r>
    </w:p>
    <w:p>
      <w:pPr>
        <w:spacing w:line="240" w:lineRule="auto" w:after="80"/>
        <w:jc w:val="both"/>
      </w:pPr>
      <w:r>
        <w:rPr>
          <w:b w:val="0"/>
          <w:i w:val="0"/>
        </w:rPr>
        <w:t xml:space="preserve">23. Noguchi, F.; et al. Effect of strain-induced crystallization on the tear strength of natural rubber/styrene butadiene rubber blend. </w:t>
      </w:r>
      <w:r>
        <w:rPr>
          <w:i/>
        </w:rPr>
        <w:t>Adv. Polym. Technol.</w:t>
      </w:r>
      <w:r>
        <w:rPr>
          <w:b w:val="0"/>
          <w:i w:val="0"/>
        </w:rPr>
        <w:t xml:space="preserve"> </w:t>
      </w:r>
      <w:r>
        <w:rPr>
          <w:b/>
          <w:i w:val="0"/>
        </w:rPr>
        <w:t>2018</w:t>
      </w:r>
      <w:r>
        <w:rPr>
          <w:b w:val="0"/>
          <w:i w:val="0"/>
        </w:rPr>
        <w:t xml:space="preserve">, </w:t>
      </w:r>
      <w:r>
        <w:rPr>
          <w:i/>
        </w:rPr>
        <w:t>37</w:t>
      </w:r>
      <w:r>
        <w:rPr>
          <w:b w:val="0"/>
          <w:i w:val="0"/>
        </w:rPr>
        <w:t>, 1850–1858. DOI: 10.1002/adv.21843.</w:t>
      </w:r>
    </w:p>
    <w:p>
      <w:pPr>
        <w:spacing w:line="240" w:lineRule="auto" w:after="80"/>
        <w:jc w:val="both"/>
      </w:pPr>
      <w:r>
        <w:rPr>
          <w:b w:val="0"/>
          <w:i w:val="0"/>
        </w:rPr>
        <w:t xml:space="preserve">24. Tangudom, P.; Thongsang, S.; Sombatsompop, N. Cure and mechanical properties and abrasive wear behavior of natural rubber, styrene-butadiene rubber and their blends reinforced with silica hybrid fillers. </w:t>
      </w:r>
      <w:r>
        <w:rPr>
          <w:i/>
        </w:rPr>
        <w:t>Mater. Des.</w:t>
      </w:r>
      <w:r>
        <w:rPr>
          <w:b w:val="0"/>
          <w:i w:val="0"/>
        </w:rPr>
        <w:t xml:space="preserve"> </w:t>
      </w:r>
      <w:r>
        <w:rPr>
          <w:b/>
          <w:i w:val="0"/>
        </w:rPr>
        <w:t>2014</w:t>
      </w:r>
      <w:r>
        <w:rPr>
          <w:b w:val="0"/>
          <w:i w:val="0"/>
        </w:rPr>
        <w:t xml:space="preserve">, </w:t>
      </w:r>
      <w:r>
        <w:rPr>
          <w:i/>
        </w:rPr>
        <w:t>53</w:t>
      </w:r>
      <w:r>
        <w:rPr>
          <w:b w:val="0"/>
          <w:i w:val="0"/>
        </w:rPr>
        <w:t>, 856–864. DOI: 10.1016/j.matdes.2013.07.024.</w:t>
      </w:r>
    </w:p>
    <w:p>
      <w:pPr>
        <w:spacing w:line="240" w:lineRule="auto" w:after="80"/>
        <w:jc w:val="both"/>
      </w:pPr>
      <w:r>
        <w:rPr>
          <w:b w:val="0"/>
          <w:i w:val="0"/>
        </w:rPr>
        <w:t xml:space="preserve">25. Goyanes, S.; et al. Thermal properties in cured natural rubber/styrene butadiene rubber blends. </w:t>
      </w:r>
      <w:r>
        <w:rPr>
          <w:i/>
        </w:rPr>
        <w:t>Eur. Polym. J.</w:t>
      </w:r>
      <w:r>
        <w:rPr>
          <w:b w:val="0"/>
          <w:i w:val="0"/>
        </w:rPr>
        <w:t xml:space="preserve"> </w:t>
      </w:r>
      <w:r>
        <w:rPr>
          <w:b/>
          <w:i w:val="0"/>
        </w:rPr>
        <w:t>2008</w:t>
      </w:r>
      <w:r>
        <w:rPr>
          <w:b w:val="0"/>
          <w:i w:val="0"/>
        </w:rPr>
        <w:t xml:space="preserve">, </w:t>
      </w:r>
      <w:r>
        <w:rPr>
          <w:i/>
        </w:rPr>
        <w:t>44</w:t>
      </w:r>
      <w:r>
        <w:rPr>
          <w:b w:val="0"/>
          <w:i w:val="0"/>
        </w:rPr>
        <w:t>, 1525–1534. DOI: 10.1016/j.eurpolymj.2008.02.016.</w:t>
      </w:r>
    </w:p>
    <w:p>
      <w:pPr>
        <w:spacing w:line="240" w:lineRule="auto" w:after="80"/>
        <w:jc w:val="both"/>
      </w:pPr>
      <w:r>
        <w:rPr>
          <w:b w:val="0"/>
          <w:i w:val="0"/>
        </w:rPr>
        <w:t xml:space="preserve">26. Tang, S.; Li, Z.; Sun, W.; Liu, Y.; Wang, J.; Wang, X.; Lin, J. Natural rubber/styrene–butadiene rubber blend composites potentially applied in damping bearings. </w:t>
      </w:r>
      <w:r>
        <w:rPr>
          <w:i/>
        </w:rPr>
        <w:t>Polymers</w:t>
      </w:r>
      <w:r>
        <w:rPr>
          <w:b w:val="0"/>
          <w:i w:val="0"/>
        </w:rPr>
        <w:t xml:space="preserve"> </w:t>
      </w:r>
      <w:r>
        <w:rPr>
          <w:b/>
          <w:i w:val="0"/>
        </w:rPr>
        <w:t>2024</w:t>
      </w:r>
      <w:r>
        <w:rPr>
          <w:b w:val="0"/>
          <w:i w:val="0"/>
        </w:rPr>
        <w:t xml:space="preserve">, </w:t>
      </w:r>
      <w:r>
        <w:rPr>
          <w:i/>
        </w:rPr>
        <w:t>16</w:t>
      </w:r>
      <w:r>
        <w:rPr>
          <w:b w:val="0"/>
          <w:i w:val="0"/>
        </w:rPr>
        <w:t>, 1945. DOI: 10.3390/polym16131945.</w:t>
      </w:r>
    </w:p>
    <w:p>
      <w:pPr>
        <w:spacing w:line="240" w:lineRule="auto" w:after="80"/>
        <w:jc w:val="both"/>
      </w:pPr>
      <w:r>
        <w:rPr>
          <w:b w:val="0"/>
          <w:i w:val="0"/>
        </w:rPr>
        <w:t xml:space="preserve">27. Floriano, J. F.; et al. Biocompatibility studies of natural rubber latex from different tree clones and collection methods. </w:t>
      </w:r>
      <w:r>
        <w:rPr>
          <w:i/>
        </w:rPr>
        <w:t>J. Mater. Sci. Mater. Med.</w:t>
      </w:r>
      <w:r>
        <w:rPr>
          <w:b w:val="0"/>
          <w:i w:val="0"/>
        </w:rPr>
        <w:t xml:space="preserve"> </w:t>
      </w:r>
      <w:r>
        <w:rPr>
          <w:b/>
          <w:i w:val="0"/>
        </w:rPr>
        <w:t>2014</w:t>
      </w:r>
      <w:r>
        <w:rPr>
          <w:b w:val="0"/>
          <w:i w:val="0"/>
        </w:rPr>
        <w:t xml:space="preserve">, </w:t>
      </w:r>
      <w:r>
        <w:rPr>
          <w:i/>
        </w:rPr>
        <w:t>25</w:t>
      </w:r>
      <w:r>
        <w:rPr>
          <w:b w:val="0"/>
          <w:i w:val="0"/>
        </w:rPr>
        <w:t>, 461–470. DOI: 10.1007/s10856-013-5089-9.</w:t>
      </w:r>
    </w:p>
    <w:p>
      <w:pPr>
        <w:spacing w:line="240" w:lineRule="auto" w:after="80"/>
        <w:jc w:val="both"/>
      </w:pPr>
      <w:r>
        <w:rPr>
          <w:b w:val="0"/>
          <w:i w:val="0"/>
        </w:rPr>
        <w:t xml:space="preserve">28. Nucera, E.; et al. Latex allergy: current status and future perspectives. </w:t>
      </w:r>
      <w:r>
        <w:rPr>
          <w:i/>
        </w:rPr>
        <w:t>J. Asthma Allergy</w:t>
      </w:r>
      <w:r>
        <w:rPr>
          <w:b w:val="0"/>
          <w:i w:val="0"/>
        </w:rPr>
        <w:t xml:space="preserve"> </w:t>
      </w:r>
      <w:r>
        <w:rPr>
          <w:b/>
          <w:i w:val="0"/>
        </w:rPr>
        <w:t>2020</w:t>
      </w:r>
      <w:r>
        <w:rPr>
          <w:b w:val="0"/>
          <w:i w:val="0"/>
        </w:rPr>
        <w:t xml:space="preserve">, </w:t>
      </w:r>
      <w:r>
        <w:rPr>
          <w:i/>
        </w:rPr>
        <w:t>13</w:t>
      </w:r>
      <w:r>
        <w:rPr>
          <w:b w:val="0"/>
          <w:i w:val="0"/>
        </w:rPr>
        <w:t>, 385–398. DOI: 10.2147/JAA.S242058.</w:t>
      </w:r>
    </w:p>
    <w:p>
      <w:pPr>
        <w:spacing w:line="240" w:lineRule="auto" w:after="80"/>
        <w:jc w:val="both"/>
      </w:pPr>
      <w:r>
        <w:rPr>
          <w:b w:val="0"/>
          <w:i w:val="0"/>
        </w:rPr>
        <w:t xml:space="preserve">29. Cucci, G.; Valentini, F.; Dorigato, A. Cradle to gate life cycle assessment of tyre-grade natural rubber produced in Thailand. </w:t>
      </w:r>
      <w:r>
        <w:rPr>
          <w:i/>
        </w:rPr>
        <w:t>Sci. Total Environ.</w:t>
      </w:r>
      <w:r>
        <w:rPr>
          <w:b w:val="0"/>
          <w:i w:val="0"/>
        </w:rPr>
        <w:t xml:space="preserve"> </w:t>
      </w:r>
      <w:r>
        <w:rPr>
          <w:b/>
          <w:i w:val="0"/>
        </w:rPr>
        <w:t>2025</w:t>
      </w:r>
      <w:r>
        <w:rPr>
          <w:b w:val="0"/>
          <w:i w:val="0"/>
        </w:rPr>
        <w:t xml:space="preserve">, </w:t>
      </w:r>
      <w:r>
        <w:rPr>
          <w:i/>
        </w:rPr>
        <w:t>987</w:t>
      </w:r>
      <w:r>
        <w:rPr>
          <w:b w:val="0"/>
          <w:i w:val="0"/>
        </w:rPr>
        <w:t>, 179653. DOI: 10.1016/j.scitotenv.2025.179653.</w:t>
      </w:r>
    </w:p>
    <w:p>
      <w:pPr>
        <w:spacing w:line="240" w:lineRule="auto" w:after="80"/>
        <w:jc w:val="both"/>
      </w:pPr>
      <w:r>
        <w:rPr>
          <w:b w:val="0"/>
          <w:i w:val="0"/>
        </w:rPr>
        <w:t xml:space="preserve">30. Dunuwila, P.; et al. Revealing the environmental footprint of crepe rubber production: a life cycle assessment. </w:t>
      </w:r>
      <w:r>
        <w:rPr>
          <w:i/>
        </w:rPr>
        <w:t>Sustainability</w:t>
      </w:r>
      <w:r>
        <w:rPr>
          <w:b w:val="0"/>
          <w:i w:val="0"/>
        </w:rPr>
        <w:t xml:space="preserve"> </w:t>
      </w:r>
      <w:r>
        <w:rPr>
          <w:b/>
          <w:i w:val="0"/>
        </w:rPr>
        <w:t>2025</w:t>
      </w:r>
      <w:r>
        <w:rPr>
          <w:b w:val="0"/>
          <w:i w:val="0"/>
        </w:rPr>
        <w:t xml:space="preserve">, </w:t>
      </w:r>
      <w:r>
        <w:rPr>
          <w:i/>
        </w:rPr>
        <w:t>17</w:t>
      </w:r>
      <w:r>
        <w:rPr>
          <w:b w:val="0"/>
          <w:i w:val="0"/>
        </w:rPr>
        <w:t>, 1239. DOI: 10.3390/su17031239.</w:t>
      </w:r>
    </w:p>
    <w:p>
      <w:pPr>
        <w:spacing w:line="240" w:lineRule="auto" w:after="80"/>
        <w:jc w:val="both"/>
      </w:pPr>
      <w:r>
        <w:rPr>
          <w:b w:val="0"/>
          <w:i w:val="0"/>
        </w:rPr>
        <w:t xml:space="preserve">31. Boon, Z. H.; et al. Recent development of biodegradable synthetic rubbers and bio-based rubbers using sustainable materials from biological sources. </w:t>
      </w:r>
      <w:r>
        <w:rPr>
          <w:i/>
        </w:rPr>
        <w:t>RSC Adv.</w:t>
      </w:r>
      <w:r>
        <w:rPr>
          <w:b w:val="0"/>
          <w:i w:val="0"/>
        </w:rPr>
        <w:t xml:space="preserve"> </w:t>
      </w:r>
      <w:r>
        <w:rPr>
          <w:b/>
          <w:i w:val="0"/>
        </w:rPr>
        <w:t>2022</w:t>
      </w:r>
      <w:r>
        <w:rPr>
          <w:b w:val="0"/>
          <w:i w:val="0"/>
        </w:rPr>
        <w:t xml:space="preserve">, </w:t>
      </w:r>
      <w:r>
        <w:rPr>
          <w:i/>
        </w:rPr>
        <w:t>12</w:t>
      </w:r>
      <w:r>
        <w:rPr>
          <w:b w:val="0"/>
          <w:i w:val="0"/>
        </w:rPr>
        <w:t>, 34028–34052. DOI: 10.1039/D2RA06602E.</w:t>
      </w:r>
    </w:p>
    <w:p>
      <w:pPr>
        <w:spacing w:line="240" w:lineRule="auto" w:after="80"/>
        <w:jc w:val="both"/>
      </w:pPr>
      <w:r>
        <w:rPr>
          <w:b w:val="0"/>
          <w:i w:val="0"/>
        </w:rPr>
        <w:t xml:space="preserve">32. U.S. Bureau of Labor Statistics. </w:t>
      </w:r>
      <w:r>
        <w:rPr>
          <w:i/>
        </w:rPr>
        <w:t>Why the Prices of Natural and Synthetic Rubber Do Not Always Bounce Together</w:t>
      </w:r>
      <w:r>
        <w:rPr>
          <w:b w:val="0"/>
          <w:i w:val="0"/>
        </w:rPr>
        <w:t>; Beyond the Numbers, Vol. 9; U.S. BLS: Washington, DC, 2020. Available at: bls.gov/opub/btn/volume-9/why-the-prices-of-natural-and-synthetic-rubber-do-not-always-bounce-together.htm</w:t>
      </w:r>
    </w:p>
    <w:p>
      <w:pPr>
        <w:spacing w:line="240" w:lineRule="auto" w:after="80"/>
        <w:jc w:val="both"/>
      </w:pPr>
      <w:r>
        <w:rPr>
          <w:b w:val="0"/>
          <w:i w:val="0"/>
        </w:rPr>
        <w:t xml:space="preserve">33. Nishiyama, Y.; Langan, P.; Chanzy, H. Crystal structure and hydrogen-bonding system in cellulose Iβ from synchrotron X-ray and neutron fiber diffraction. </w:t>
      </w:r>
      <w:r>
        <w:rPr>
          <w:i/>
        </w:rPr>
        <w:t>J. Am. Chem. Soc.</w:t>
      </w:r>
      <w:r>
        <w:rPr>
          <w:b w:val="0"/>
          <w:i w:val="0"/>
        </w:rPr>
        <w:t xml:space="preserve"> </w:t>
      </w:r>
      <w:r>
        <w:rPr>
          <w:b/>
          <w:i w:val="0"/>
        </w:rPr>
        <w:t>2002</w:t>
      </w:r>
      <w:r>
        <w:rPr>
          <w:b w:val="0"/>
          <w:i w:val="0"/>
        </w:rPr>
        <w:t xml:space="preserve">, </w:t>
      </w:r>
      <w:r>
        <w:rPr>
          <w:i/>
        </w:rPr>
        <w:t>124</w:t>
      </w:r>
      <w:r>
        <w:rPr>
          <w:b w:val="0"/>
          <w:i w:val="0"/>
        </w:rPr>
        <w:t>, 9074–9082. DOI: 10.1021/ja0257319.</w:t>
      </w:r>
    </w:p>
    <w:p>
      <w:pPr>
        <w:spacing w:line="240" w:lineRule="auto" w:after="80"/>
        <w:jc w:val="both"/>
      </w:pPr>
      <w:r>
        <w:rPr>
          <w:b w:val="0"/>
          <w:i w:val="0"/>
        </w:rPr>
        <w:t xml:space="preserve">34. Nishiyama, Y.; Sugiyama, J.; Chanzy, H.; Langan, P. Crystal structure and hydrogen bonding system in cellulose Iα from synchrotron X-ray and neutron fiber diffraction. </w:t>
      </w:r>
      <w:r>
        <w:rPr>
          <w:i/>
        </w:rPr>
        <w:t>J. Am. Chem. Soc.</w:t>
      </w:r>
      <w:r>
        <w:rPr>
          <w:b w:val="0"/>
          <w:i w:val="0"/>
        </w:rPr>
        <w:t xml:space="preserve"> </w:t>
      </w:r>
      <w:r>
        <w:rPr>
          <w:b/>
          <w:i w:val="0"/>
        </w:rPr>
        <w:t>2003</w:t>
      </w:r>
      <w:r>
        <w:rPr>
          <w:b w:val="0"/>
          <w:i w:val="0"/>
        </w:rPr>
        <w:t xml:space="preserve">, </w:t>
      </w:r>
      <w:r>
        <w:rPr>
          <w:i/>
        </w:rPr>
        <w:t>125</w:t>
      </w:r>
      <w:r>
        <w:rPr>
          <w:b w:val="0"/>
          <w:i w:val="0"/>
        </w:rPr>
        <w:t>, 14300–14306. DOI: 10.1021/ja037055w.</w:t>
      </w:r>
    </w:p>
    <w:p>
      <w:pPr>
        <w:spacing w:line="240" w:lineRule="auto" w:after="80"/>
        <w:jc w:val="both"/>
      </w:pPr>
      <w:r>
        <w:rPr>
          <w:b w:val="0"/>
          <w:i w:val="0"/>
        </w:rPr>
        <w:t xml:space="preserve">35. Nishino, T.; Takano, K.; Nakamae, K. Elastic modulus of the crystalline regions of cellulose polymorphs. </w:t>
      </w:r>
      <w:r>
        <w:rPr>
          <w:i/>
        </w:rPr>
        <w:t>J. Polym. Sci. B Polym. Phys.</w:t>
      </w:r>
      <w:r>
        <w:rPr>
          <w:b w:val="0"/>
          <w:i w:val="0"/>
        </w:rPr>
        <w:t xml:space="preserve"> </w:t>
      </w:r>
      <w:r>
        <w:rPr>
          <w:b/>
          <w:i w:val="0"/>
        </w:rPr>
        <w:t>1995</w:t>
      </w:r>
      <w:r>
        <w:rPr>
          <w:b w:val="0"/>
          <w:i w:val="0"/>
        </w:rPr>
        <w:t xml:space="preserve">, </w:t>
      </w:r>
      <w:r>
        <w:rPr>
          <w:i/>
        </w:rPr>
        <w:t>33</w:t>
      </w:r>
      <w:r>
        <w:rPr>
          <w:b w:val="0"/>
          <w:i w:val="0"/>
        </w:rPr>
        <w:t>, 1647–1651. DOI: 10.1002/polb.1995.090331110.</w:t>
      </w:r>
    </w:p>
    <w:p>
      <w:pPr>
        <w:spacing w:line="240" w:lineRule="auto" w:after="80"/>
        <w:jc w:val="both"/>
      </w:pPr>
      <w:r>
        <w:rPr>
          <w:b w:val="0"/>
          <w:i w:val="0"/>
        </w:rPr>
        <w:t xml:space="preserve">36. Eichhorn, S. J.; Baillie, C. A.; Zafeiropoulos, N.; et al. Review: current international research into cellulosic fibres and composites. </w:t>
      </w:r>
      <w:r>
        <w:rPr>
          <w:i/>
        </w:rPr>
        <w:t>J. Mater. Sci.</w:t>
      </w:r>
      <w:r>
        <w:rPr>
          <w:b w:val="0"/>
          <w:i w:val="0"/>
        </w:rPr>
        <w:t xml:space="preserve"> </w:t>
      </w:r>
      <w:r>
        <w:rPr>
          <w:b/>
          <w:i w:val="0"/>
        </w:rPr>
        <w:t>2001</w:t>
      </w:r>
      <w:r>
        <w:rPr>
          <w:b w:val="0"/>
          <w:i w:val="0"/>
        </w:rPr>
        <w:t xml:space="preserve">, </w:t>
      </w:r>
      <w:r>
        <w:rPr>
          <w:i/>
        </w:rPr>
        <w:t>36</w:t>
      </w:r>
      <w:r>
        <w:rPr>
          <w:b w:val="0"/>
          <w:i w:val="0"/>
        </w:rPr>
        <w:t>, 2107–2131. DOI: 10.1023/A:1017512029696.</w:t>
      </w:r>
    </w:p>
    <w:p>
      <w:pPr>
        <w:spacing w:line="240" w:lineRule="auto" w:after="80"/>
        <w:jc w:val="both"/>
      </w:pPr>
      <w:r>
        <w:rPr>
          <w:b w:val="0"/>
          <w:i w:val="0"/>
        </w:rPr>
        <w:t xml:space="preserve">37. Rosenau, T.; Potthast, A.; Sixta, H.; Kosma, P. The chemistry of side reactions and byproduct formation in the system NMMO/cellulose (Lyocell process). </w:t>
      </w:r>
      <w:r>
        <w:rPr>
          <w:i/>
        </w:rPr>
        <w:t>Prog. Polym. Sci.</w:t>
      </w:r>
      <w:r>
        <w:rPr>
          <w:b w:val="0"/>
          <w:i w:val="0"/>
        </w:rPr>
        <w:t xml:space="preserve"> </w:t>
      </w:r>
      <w:r>
        <w:rPr>
          <w:b/>
          <w:i w:val="0"/>
        </w:rPr>
        <w:t>2001</w:t>
      </w:r>
      <w:r>
        <w:rPr>
          <w:b w:val="0"/>
          <w:i w:val="0"/>
        </w:rPr>
        <w:t xml:space="preserve">, </w:t>
      </w:r>
      <w:r>
        <w:rPr>
          <w:i/>
        </w:rPr>
        <w:t>26</w:t>
      </w:r>
      <w:r>
        <w:rPr>
          <w:b w:val="0"/>
          <w:i w:val="0"/>
        </w:rPr>
        <w:t>, 1763–1837. DOI: 10.1016/S0079-6700(01)00023-5.</w:t>
      </w:r>
    </w:p>
    <w:p>
      <w:pPr>
        <w:spacing w:line="240" w:lineRule="auto" w:after="80"/>
        <w:jc w:val="both"/>
      </w:pPr>
      <w:r>
        <w:rPr>
          <w:b w:val="0"/>
          <w:i w:val="0"/>
        </w:rPr>
        <w:t xml:space="preserve">38. Wang, S.; Li, C.; Copeland, L.; Niu, Q.; Wang, S. Starch retrogradation: a comprehensive review. </w:t>
      </w:r>
      <w:r>
        <w:rPr>
          <w:i/>
        </w:rPr>
        <w:t>Compr. Rev. Food Sci. Food Saf.</w:t>
      </w:r>
      <w:r>
        <w:rPr>
          <w:b w:val="0"/>
          <w:i w:val="0"/>
        </w:rPr>
        <w:t xml:space="preserve"> </w:t>
      </w:r>
      <w:r>
        <w:rPr>
          <w:b/>
          <w:i w:val="0"/>
        </w:rPr>
        <w:t>2015</w:t>
      </w:r>
      <w:r>
        <w:rPr>
          <w:b w:val="0"/>
          <w:i w:val="0"/>
        </w:rPr>
        <w:t xml:space="preserve">, </w:t>
      </w:r>
      <w:r>
        <w:rPr>
          <w:i/>
        </w:rPr>
        <w:t>14</w:t>
      </w:r>
      <w:r>
        <w:rPr>
          <w:b w:val="0"/>
          <w:i w:val="0"/>
        </w:rPr>
        <w:t>, 568–585. DOI: 10.1111/1541-4337.12143.</w:t>
      </w:r>
    </w:p>
    <w:p>
      <w:pPr>
        <w:spacing w:line="240" w:lineRule="auto" w:after="80"/>
        <w:jc w:val="both"/>
      </w:pPr>
      <w:r>
        <w:rPr>
          <w:b w:val="0"/>
          <w:i w:val="0"/>
        </w:rPr>
        <w:t xml:space="preserve">39. Rinaudo, M. Chitin and chitosan: properties and applications. </w:t>
      </w:r>
      <w:r>
        <w:rPr>
          <w:i/>
        </w:rPr>
        <w:t>Prog. Polym. Sci.</w:t>
      </w:r>
      <w:r>
        <w:rPr>
          <w:b w:val="0"/>
          <w:i w:val="0"/>
        </w:rPr>
        <w:t xml:space="preserve"> </w:t>
      </w:r>
      <w:r>
        <w:rPr>
          <w:b/>
          <w:i w:val="0"/>
        </w:rPr>
        <w:t>2006</w:t>
      </w:r>
      <w:r>
        <w:rPr>
          <w:b w:val="0"/>
          <w:i w:val="0"/>
        </w:rPr>
        <w:t xml:space="preserve">, </w:t>
      </w:r>
      <w:r>
        <w:rPr>
          <w:i/>
        </w:rPr>
        <w:t>31</w:t>
      </w:r>
      <w:r>
        <w:rPr>
          <w:b w:val="0"/>
          <w:i w:val="0"/>
        </w:rPr>
        <w:t>, 603–632. DOI: 10.1016/j.progpolymsci.2006.06.001.</w:t>
      </w:r>
    </w:p>
    <w:p>
      <w:pPr>
        <w:spacing w:line="240" w:lineRule="auto" w:after="80"/>
        <w:jc w:val="both"/>
      </w:pPr>
      <w:r>
        <w:rPr>
          <w:b w:val="0"/>
          <w:i w:val="0"/>
        </w:rPr>
        <w:t xml:space="preserve">40. Drumright, R. E.; Gruber, P. R.; Henton, D. E. Polylactic acid technology. </w:t>
      </w:r>
      <w:r>
        <w:rPr>
          <w:i/>
        </w:rPr>
        <w:t>Adv. Mater.</w:t>
      </w:r>
      <w:r>
        <w:rPr>
          <w:b w:val="0"/>
          <w:i w:val="0"/>
        </w:rPr>
        <w:t xml:space="preserve"> </w:t>
      </w:r>
      <w:r>
        <w:rPr>
          <w:b/>
          <w:i w:val="0"/>
        </w:rPr>
        <w:t>2000</w:t>
      </w:r>
      <w:r>
        <w:rPr>
          <w:b w:val="0"/>
          <w:i w:val="0"/>
        </w:rPr>
        <w:t xml:space="preserve">, </w:t>
      </w:r>
      <w:r>
        <w:rPr>
          <w:i/>
        </w:rPr>
        <w:t>12</w:t>
      </w:r>
      <w:r>
        <w:rPr>
          <w:b w:val="0"/>
          <w:i w:val="0"/>
        </w:rPr>
        <w:t>, 1841–1846. DOI: 10.1002/1521-4095(200012)12:23&lt;1841::AID-ADMA1841&gt;3.0.CO;2-E.</w:t>
      </w:r>
    </w:p>
    <w:p>
      <w:pPr>
        <w:spacing w:line="240" w:lineRule="auto" w:after="80"/>
        <w:jc w:val="both"/>
      </w:pPr>
      <w:r>
        <w:rPr>
          <w:b w:val="0"/>
          <w:i w:val="0"/>
        </w:rPr>
        <w:t xml:space="preserve">41. Kowalski, A.; Duda, A.; Penczek, S. Kinetics and mechanism of cyclic esters polymerization initiated with tin(II) octoate. 3. Polymerization of L,L-dilactide. </w:t>
      </w:r>
      <w:r>
        <w:rPr>
          <w:i/>
        </w:rPr>
        <w:t>Macromolecules</w:t>
      </w:r>
      <w:r>
        <w:rPr>
          <w:b w:val="0"/>
          <w:i w:val="0"/>
        </w:rPr>
        <w:t xml:space="preserve"> </w:t>
      </w:r>
      <w:r>
        <w:rPr>
          <w:b/>
          <w:i w:val="0"/>
        </w:rPr>
        <w:t>2000</w:t>
      </w:r>
      <w:r>
        <w:rPr>
          <w:b w:val="0"/>
          <w:i w:val="0"/>
        </w:rPr>
        <w:t xml:space="preserve">, </w:t>
      </w:r>
      <w:r>
        <w:rPr>
          <w:i/>
        </w:rPr>
        <w:t>33</w:t>
      </w:r>
      <w:r>
        <w:rPr>
          <w:b w:val="0"/>
          <w:i w:val="0"/>
        </w:rPr>
        <w:t>, 7359–7370. DOI: 10.1021/ma000125o.</w:t>
      </w:r>
    </w:p>
    <w:p>
      <w:pPr>
        <w:spacing w:line="240" w:lineRule="auto" w:after="80"/>
        <w:jc w:val="both"/>
      </w:pPr>
      <w:r>
        <w:rPr>
          <w:b w:val="0"/>
          <w:i w:val="0"/>
        </w:rPr>
        <w:t xml:space="preserve">42. Auras, R.; Harte, B.; Selke, S. An overview of polylactides as packaging materials. </w:t>
      </w:r>
      <w:r>
        <w:rPr>
          <w:i/>
        </w:rPr>
        <w:t>Macromol. Biosci.</w:t>
      </w:r>
      <w:r>
        <w:rPr>
          <w:b w:val="0"/>
          <w:i w:val="0"/>
        </w:rPr>
        <w:t xml:space="preserve"> </w:t>
      </w:r>
      <w:r>
        <w:rPr>
          <w:b/>
          <w:i w:val="0"/>
        </w:rPr>
        <w:t>2004</w:t>
      </w:r>
      <w:r>
        <w:rPr>
          <w:b w:val="0"/>
          <w:i w:val="0"/>
        </w:rPr>
        <w:t xml:space="preserve">, </w:t>
      </w:r>
      <w:r>
        <w:rPr>
          <w:i/>
        </w:rPr>
        <w:t>4</w:t>
      </w:r>
      <w:r>
        <w:rPr>
          <w:b w:val="0"/>
          <w:i w:val="0"/>
        </w:rPr>
        <w:t>, 835–864. DOI: 10.1002/mabi.200400043.</w:t>
      </w:r>
    </w:p>
    <w:p>
      <w:pPr>
        <w:spacing w:line="240" w:lineRule="auto" w:after="80"/>
        <w:jc w:val="both"/>
      </w:pPr>
      <w:r>
        <w:rPr>
          <w:b w:val="0"/>
          <w:i w:val="0"/>
        </w:rPr>
        <w:t xml:space="preserve">43. Farah, S.; Anderson, D. G.; Langer, R. Physical and mechanical properties of PLA, and their functions in widespread applications — a comprehensive review. </w:t>
      </w:r>
      <w:r>
        <w:rPr>
          <w:i/>
        </w:rPr>
        <w:t>Adv. Drug Deliv. Rev.</w:t>
      </w:r>
      <w:r>
        <w:rPr>
          <w:b w:val="0"/>
          <w:i w:val="0"/>
        </w:rPr>
        <w:t xml:space="preserve"> </w:t>
      </w:r>
      <w:r>
        <w:rPr>
          <w:b/>
          <w:i w:val="0"/>
        </w:rPr>
        <w:t>2016</w:t>
      </w:r>
      <w:r>
        <w:rPr>
          <w:b w:val="0"/>
          <w:i w:val="0"/>
        </w:rPr>
        <w:t xml:space="preserve">, </w:t>
      </w:r>
      <w:r>
        <w:rPr>
          <w:i/>
        </w:rPr>
        <w:t>107</w:t>
      </w:r>
      <w:r>
        <w:rPr>
          <w:b w:val="0"/>
          <w:i w:val="0"/>
        </w:rPr>
        <w:t>, 367–392. DOI: 10.1016/j.addr.2016.06.012.</w:t>
      </w:r>
    </w:p>
    <w:p>
      <w:pPr>
        <w:spacing w:line="240" w:lineRule="auto" w:after="80"/>
        <w:jc w:val="both"/>
      </w:pPr>
      <w:r>
        <w:rPr>
          <w:b w:val="0"/>
          <w:i w:val="0"/>
        </w:rPr>
        <w:t xml:space="preserve">44. Sin, L. T.; Rahmat, A. R.; Rahman, W. A. W. A. Thermal properties of poly(lactic acid). In </w:t>
      </w:r>
      <w:r>
        <w:rPr>
          <w:i/>
        </w:rPr>
        <w:t>Polylactic Acid: PLA Biopolymer Technology and Applications</w:t>
      </w:r>
      <w:r>
        <w:rPr>
          <w:b w:val="0"/>
          <w:i w:val="0"/>
        </w:rPr>
        <w:t>; William Andrew: Oxford, 2013; pp 109–141. DOI: 10.1016/B978-1-4377-4459-0.00003-2.</w:t>
      </w:r>
    </w:p>
    <w:p>
      <w:pPr>
        <w:spacing w:line="240" w:lineRule="auto" w:after="80"/>
        <w:jc w:val="both"/>
      </w:pPr>
      <w:r>
        <w:rPr>
          <w:b w:val="0"/>
          <w:i w:val="0"/>
        </w:rPr>
        <w:t xml:space="preserve">45. Shoulders, M. D.; Raines, R. T. Collagen structure and stability. </w:t>
      </w:r>
      <w:r>
        <w:rPr>
          <w:i/>
        </w:rPr>
        <w:t>Annu. Rev. Biochem.</w:t>
      </w:r>
      <w:r>
        <w:rPr>
          <w:b w:val="0"/>
          <w:i w:val="0"/>
        </w:rPr>
        <w:t xml:space="preserve"> </w:t>
      </w:r>
      <w:r>
        <w:rPr>
          <w:b/>
          <w:i w:val="0"/>
        </w:rPr>
        <w:t>2009</w:t>
      </w:r>
      <w:r>
        <w:rPr>
          <w:b w:val="0"/>
          <w:i w:val="0"/>
        </w:rPr>
        <w:t xml:space="preserve">, </w:t>
      </w:r>
      <w:r>
        <w:rPr>
          <w:i/>
        </w:rPr>
        <w:t>78</w:t>
      </w:r>
      <w:r>
        <w:rPr>
          <w:b w:val="0"/>
          <w:i w:val="0"/>
        </w:rPr>
        <w:t>, 929–958. DOI: 10.1146/annurev.biochem.77.032207.120833.</w:t>
      </w:r>
    </w:p>
    <w:p>
      <w:pPr>
        <w:spacing w:line="240" w:lineRule="auto" w:after="80"/>
        <w:jc w:val="both"/>
      </w:pPr>
      <w:r>
        <w:rPr>
          <w:b w:val="0"/>
          <w:i w:val="0"/>
        </w:rPr>
        <w:t xml:space="preserve">46. Stepto, R. F. T. Dispersity in polymer science (IUPAC Recommendations 2009). </w:t>
      </w:r>
      <w:r>
        <w:rPr>
          <w:i/>
        </w:rPr>
        <w:t>Pure Appl. Chem.</w:t>
      </w:r>
      <w:r>
        <w:rPr>
          <w:b w:val="0"/>
          <w:i w:val="0"/>
        </w:rPr>
        <w:t xml:space="preserve"> </w:t>
      </w:r>
      <w:r>
        <w:rPr>
          <w:b/>
          <w:i w:val="0"/>
        </w:rPr>
        <w:t>2009</w:t>
      </w:r>
      <w:r>
        <w:rPr>
          <w:b w:val="0"/>
          <w:i w:val="0"/>
        </w:rPr>
        <w:t xml:space="preserve">, </w:t>
      </w:r>
      <w:r>
        <w:rPr>
          <w:i/>
        </w:rPr>
        <w:t>81</w:t>
      </w:r>
      <w:r>
        <w:rPr>
          <w:b w:val="0"/>
          <w:i w:val="0"/>
        </w:rPr>
        <w:t>, 351–353. DOI: 10.1351/pac-rec-08-05-02.</w:t>
      </w:r>
    </w:p>
    <w:p>
      <w:pPr>
        <w:spacing w:line="240" w:lineRule="auto" w:after="80"/>
        <w:jc w:val="both"/>
      </w:pPr>
      <w:r>
        <w:rPr>
          <w:b w:val="0"/>
          <w:i w:val="0"/>
        </w:rPr>
        <w:t xml:space="preserve">47. Nunes, R. W.; Martin, J. R.; Johnson, J. F. Influence of molecular weight and molecular weight distribution on mechanical properties of polymers. </w:t>
      </w:r>
      <w:r>
        <w:rPr>
          <w:i/>
        </w:rPr>
        <w:t>Polym. Eng. Sci.</w:t>
      </w:r>
      <w:r>
        <w:rPr>
          <w:b w:val="0"/>
          <w:i w:val="0"/>
        </w:rPr>
        <w:t xml:space="preserve"> </w:t>
      </w:r>
      <w:r>
        <w:rPr>
          <w:b/>
          <w:i w:val="0"/>
        </w:rPr>
        <w:t>1982</w:t>
      </w:r>
      <w:r>
        <w:rPr>
          <w:b w:val="0"/>
          <w:i w:val="0"/>
        </w:rPr>
        <w:t xml:space="preserve">, </w:t>
      </w:r>
      <w:r>
        <w:rPr>
          <w:i/>
        </w:rPr>
        <w:t>22</w:t>
      </w:r>
      <w:r>
        <w:rPr>
          <w:b w:val="0"/>
          <w:i w:val="0"/>
        </w:rPr>
        <w:t>, 205–228. DOI: 10.1002/pen.760220402.</w:t>
      </w:r>
    </w:p>
    <w:p>
      <w:pPr>
        <w:spacing w:line="240" w:lineRule="auto" w:after="80"/>
        <w:jc w:val="both"/>
      </w:pPr>
      <w:r>
        <w:rPr>
          <w:b w:val="0"/>
          <w:i w:val="0"/>
        </w:rPr>
        <w:t xml:space="preserve">48. Fetters, L. J.; Lohse, D. J.; Richter, D.; Witten, T. A.; Zirkel, A. Connection between polymer molecular weight, density, chain dimensions, and melt viscoelastic properties. </w:t>
      </w:r>
      <w:r>
        <w:rPr>
          <w:i/>
        </w:rPr>
        <w:t>Macromolecules</w:t>
      </w:r>
      <w:r>
        <w:rPr>
          <w:b w:val="0"/>
          <w:i w:val="0"/>
        </w:rPr>
        <w:t xml:space="preserve"> </w:t>
      </w:r>
      <w:r>
        <w:rPr>
          <w:b/>
          <w:i w:val="0"/>
        </w:rPr>
        <w:t>1994</w:t>
      </w:r>
      <w:r>
        <w:rPr>
          <w:b w:val="0"/>
          <w:i w:val="0"/>
        </w:rPr>
        <w:t xml:space="preserve">, </w:t>
      </w:r>
      <w:r>
        <w:rPr>
          <w:i/>
        </w:rPr>
        <w:t>27</w:t>
      </w:r>
      <w:r>
        <w:rPr>
          <w:b w:val="0"/>
          <w:i w:val="0"/>
        </w:rPr>
        <w:t>, 4639–4647. DOI: 10.1021/ma00095a001.</w:t>
      </w:r>
    </w:p>
    <w:p>
      <w:pPr>
        <w:spacing w:line="240" w:lineRule="auto" w:after="80"/>
        <w:jc w:val="both"/>
      </w:pPr>
      <w:r>
        <w:rPr>
          <w:b w:val="0"/>
          <w:i w:val="0"/>
        </w:rPr>
        <w:t xml:space="preserve">49. von Burkersroda, F.; Schedl, L.; Göpferich, A. Why degradable polymers undergo surface erosion or bulk erosion. </w:t>
      </w:r>
      <w:r>
        <w:rPr>
          <w:i/>
        </w:rPr>
        <w:t>Biomaterials</w:t>
      </w:r>
      <w:r>
        <w:rPr>
          <w:b w:val="0"/>
          <w:i w:val="0"/>
        </w:rPr>
        <w:t xml:space="preserve"> </w:t>
      </w:r>
      <w:r>
        <w:rPr>
          <w:b/>
          <w:i w:val="0"/>
        </w:rPr>
        <w:t>2002</w:t>
      </w:r>
      <w:r>
        <w:rPr>
          <w:b w:val="0"/>
          <w:i w:val="0"/>
        </w:rPr>
        <w:t xml:space="preserve">, </w:t>
      </w:r>
      <w:r>
        <w:rPr>
          <w:i/>
        </w:rPr>
        <w:t>23</w:t>
      </w:r>
      <w:r>
        <w:rPr>
          <w:b w:val="0"/>
          <w:i w:val="0"/>
        </w:rPr>
        <w:t>, 4221–4231. DOI: 10.1016/S0142-9612(02)00170-9.</w:t>
      </w:r>
    </w:p>
    <w:p>
      <w:pPr>
        <w:spacing w:line="240" w:lineRule="auto" w:after="80"/>
        <w:jc w:val="both"/>
      </w:pPr>
      <w:r>
        <w:rPr>
          <w:b w:val="0"/>
          <w:i w:val="0"/>
        </w:rPr>
        <w:t xml:space="preserve">50. Lucas, N.; Bienaime, C.; Belloy, C.; Queneudec, M.; Silvestre, F.; Nava-Saucedo, J.-E. Polymer biodegradation: mechanisms and estimation techniques — a review. </w:t>
      </w:r>
      <w:r>
        <w:rPr>
          <w:i/>
        </w:rPr>
        <w:t>Chemosphere</w:t>
      </w:r>
      <w:r>
        <w:rPr>
          <w:b w:val="0"/>
          <w:i w:val="0"/>
        </w:rPr>
        <w:t xml:space="preserve"> </w:t>
      </w:r>
      <w:r>
        <w:rPr>
          <w:b/>
          <w:i w:val="0"/>
        </w:rPr>
        <w:t>2008</w:t>
      </w:r>
      <w:r>
        <w:rPr>
          <w:b w:val="0"/>
          <w:i w:val="0"/>
        </w:rPr>
        <w:t xml:space="preserve">, </w:t>
      </w:r>
      <w:r>
        <w:rPr>
          <w:i/>
        </w:rPr>
        <w:t>73</w:t>
      </w:r>
      <w:r>
        <w:rPr>
          <w:b w:val="0"/>
          <w:i w:val="0"/>
        </w:rPr>
        <w:t>, 429–442. DOI: 10.1016/j.chemosphere.2008.06.064.</w:t>
      </w:r>
    </w:p>
    <w:p>
      <w:pPr>
        <w:spacing w:line="240" w:lineRule="auto" w:after="80"/>
        <w:jc w:val="both"/>
      </w:pPr>
      <w:r>
        <w:rPr>
          <w:b w:val="0"/>
          <w:i w:val="0"/>
        </w:rPr>
        <w:t xml:space="preserve">51. Tokiwa, Y.; Calil, M. R.; Suzuki, T.; Aiba, S. Biodegradability of plastics. </w:t>
      </w:r>
      <w:r>
        <w:rPr>
          <w:i/>
        </w:rPr>
        <w:t>Int. J. Mol. Sci.</w:t>
      </w:r>
      <w:r>
        <w:rPr>
          <w:b w:val="0"/>
          <w:i w:val="0"/>
        </w:rPr>
        <w:t xml:space="preserve"> </w:t>
      </w:r>
      <w:r>
        <w:rPr>
          <w:b/>
          <w:i w:val="0"/>
        </w:rPr>
        <w:t>2009</w:t>
      </w:r>
      <w:r>
        <w:rPr>
          <w:b w:val="0"/>
          <w:i w:val="0"/>
        </w:rPr>
        <w:t xml:space="preserve">, </w:t>
      </w:r>
      <w:r>
        <w:rPr>
          <w:i/>
        </w:rPr>
        <w:t>10</w:t>
      </w:r>
      <w:r>
        <w:rPr>
          <w:b w:val="0"/>
          <w:i w:val="0"/>
        </w:rPr>
        <w:t>, 3722–3742. DOI: 10.3390/ijms10093722.</w:t>
      </w:r>
    </w:p>
    <w:p>
      <w:pPr>
        <w:spacing w:line="240" w:lineRule="auto" w:after="80"/>
        <w:jc w:val="both"/>
      </w:pPr>
      <w:r>
        <w:rPr>
          <w:b w:val="0"/>
          <w:i w:val="0"/>
        </w:rPr>
        <w:t xml:space="preserve">52. Middleton, J. C.; Tipton, A. J. Synthetic biodegradable polymers as orthopedic devices. </w:t>
      </w:r>
      <w:r>
        <w:rPr>
          <w:i/>
        </w:rPr>
        <w:t>Biomaterials</w:t>
      </w:r>
      <w:r>
        <w:rPr>
          <w:b w:val="0"/>
          <w:i w:val="0"/>
        </w:rPr>
        <w:t xml:space="preserve"> </w:t>
      </w:r>
      <w:r>
        <w:rPr>
          <w:b/>
          <w:i w:val="0"/>
        </w:rPr>
        <w:t>2000</w:t>
      </w:r>
      <w:r>
        <w:rPr>
          <w:b w:val="0"/>
          <w:i w:val="0"/>
        </w:rPr>
        <w:t xml:space="preserve">, </w:t>
      </w:r>
      <w:r>
        <w:rPr>
          <w:i/>
        </w:rPr>
        <w:t>21</w:t>
      </w:r>
      <w:r>
        <w:rPr>
          <w:b w:val="0"/>
          <w:i w:val="0"/>
        </w:rPr>
        <w:t>, 2335–2346. DOI: 10.1016/S0142-9612(00)00101-0.</w:t>
      </w:r>
    </w:p>
    <w:p>
      <w:pPr>
        <w:spacing w:line="240" w:lineRule="auto" w:after="80"/>
        <w:jc w:val="both"/>
      </w:pPr>
      <w:r>
        <w:rPr>
          <w:b w:val="0"/>
          <w:i w:val="0"/>
        </w:rPr>
        <w:t xml:space="preserve">53. Jem, K. J.; Tan, B. The development and challenges of poly(lactic acid) and poly(glycolic acid). </w:t>
      </w:r>
      <w:r>
        <w:rPr>
          <w:i/>
        </w:rPr>
        <w:t>Adv. Ind. Eng. Polym. Res.</w:t>
      </w:r>
      <w:r>
        <w:rPr>
          <w:b w:val="0"/>
          <w:i w:val="0"/>
        </w:rPr>
        <w:t xml:space="preserve"> </w:t>
      </w:r>
      <w:r>
        <w:rPr>
          <w:b/>
          <w:i w:val="0"/>
        </w:rPr>
        <w:t>2020</w:t>
      </w:r>
      <w:r>
        <w:rPr>
          <w:b w:val="0"/>
          <w:i w:val="0"/>
        </w:rPr>
        <w:t xml:space="preserve">, </w:t>
      </w:r>
      <w:r>
        <w:rPr>
          <w:i/>
        </w:rPr>
        <w:t>3</w:t>
      </w:r>
      <w:r>
        <w:rPr>
          <w:b w:val="0"/>
          <w:i w:val="0"/>
        </w:rPr>
        <w:t>, 60–70. DOI: 10.1016/j.aiepr.2020.01.002.</w:t>
      </w:r>
    </w:p>
    <w:p>
      <w:pPr>
        <w:spacing w:line="240" w:lineRule="auto" w:after="80"/>
        <w:jc w:val="both"/>
      </w:pPr>
      <w:r>
        <w:rPr>
          <w:b w:val="0"/>
          <w:i w:val="0"/>
        </w:rPr>
        <w:t xml:space="preserve">54. Ragauskas, A. J.; Beckham, G. T.; Biddy, M. J.; et al. Lignin valorization: improving lignin processing in the biorefinery. </w:t>
      </w:r>
      <w:r>
        <w:rPr>
          <w:i/>
        </w:rPr>
        <w:t>Science</w:t>
      </w:r>
      <w:r>
        <w:rPr>
          <w:b w:val="0"/>
          <w:i w:val="0"/>
        </w:rPr>
        <w:t xml:space="preserve"> </w:t>
      </w:r>
      <w:r>
        <w:rPr>
          <w:b/>
          <w:i w:val="0"/>
        </w:rPr>
        <w:t>2014</w:t>
      </w:r>
      <w:r>
        <w:rPr>
          <w:b w:val="0"/>
          <w:i w:val="0"/>
        </w:rPr>
        <w:t xml:space="preserve">, </w:t>
      </w:r>
      <w:r>
        <w:rPr>
          <w:i/>
        </w:rPr>
        <w:t>344</w:t>
      </w:r>
      <w:r>
        <w:rPr>
          <w:b w:val="0"/>
          <w:i w:val="0"/>
        </w:rPr>
        <w:t>, 1246843. DOI: 10.1126/science.1246843.</w:t>
      </w:r>
    </w:p>
    <w:p>
      <w:pPr>
        <w:spacing w:line="240" w:lineRule="auto" w:after="80"/>
        <w:jc w:val="both"/>
      </w:pPr>
      <w:r>
        <w:rPr>
          <w:b w:val="0"/>
          <w:i w:val="0"/>
        </w:rPr>
        <w:t xml:space="preserve">55. Rinaudo, M. Main properties and current applications of some polysaccharides as biomaterials. </w:t>
      </w:r>
      <w:r>
        <w:rPr>
          <w:i/>
        </w:rPr>
        <w:t>Polym. Int.</w:t>
      </w:r>
      <w:r>
        <w:rPr>
          <w:b w:val="0"/>
          <w:i w:val="0"/>
        </w:rPr>
        <w:t xml:space="preserve"> </w:t>
      </w:r>
      <w:r>
        <w:rPr>
          <w:b/>
          <w:i w:val="0"/>
        </w:rPr>
        <w:t>2008</w:t>
      </w:r>
      <w:r>
        <w:rPr>
          <w:b w:val="0"/>
          <w:i w:val="0"/>
        </w:rPr>
        <w:t xml:space="preserve">, </w:t>
      </w:r>
      <w:r>
        <w:rPr>
          <w:i/>
        </w:rPr>
        <w:t>57</w:t>
      </w:r>
      <w:r>
        <w:rPr>
          <w:b w:val="0"/>
          <w:i w:val="0"/>
        </w:rPr>
        <w:t>, 397–430. DOI: 10.1002/pi.2378.</w:t>
      </w:r>
    </w:p>
    <w:p>
      <w:pPr>
        <w:spacing w:line="240" w:lineRule="auto" w:after="80"/>
        <w:jc w:val="both"/>
      </w:pPr>
      <w:r>
        <w:rPr>
          <w:b w:val="0"/>
          <w:i w:val="0"/>
        </w:rPr>
        <w:t xml:space="preserve">56. Kuenneth, C.; Ramprasad, R. polyBERT: a chemical language model to enable fully machine-driven ultrafast polymer informatics. </w:t>
      </w:r>
      <w:r>
        <w:rPr>
          <w:i/>
        </w:rPr>
        <w:t>Nat. Commun.</w:t>
      </w:r>
      <w:r>
        <w:rPr>
          <w:b w:val="0"/>
          <w:i w:val="0"/>
        </w:rPr>
        <w:t xml:space="preserve"> </w:t>
      </w:r>
      <w:r>
        <w:rPr>
          <w:b/>
          <w:i w:val="0"/>
        </w:rPr>
        <w:t>2023</w:t>
      </w:r>
      <w:r>
        <w:rPr>
          <w:b w:val="0"/>
          <w:i w:val="0"/>
        </w:rPr>
        <w:t xml:space="preserve">, </w:t>
      </w:r>
      <w:r>
        <w:rPr>
          <w:i/>
        </w:rPr>
        <w:t>14</w:t>
      </w:r>
      <w:r>
        <w:rPr>
          <w:b w:val="0"/>
          <w:i w:val="0"/>
        </w:rPr>
        <w:t>, 4099. DOI: 10.1038/s41467-023-39868-6.</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4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val="0"/>
      <w:widowControl/>
      <w:spacing w:before="120" w:after="40" w:line="240" w:lineRule="auto"/>
      <w:outlineLvl w:val="0"/>
    </w:pPr>
    <w:rPr>
      <w:rFonts w:asciiTheme="majorHAnsi" w:eastAsiaTheme="majorEastAsia" w:hAnsiTheme="majorHAnsi" w:cstheme="majorBidi" w:ascii="Times New Roman" w:hAnsi="Times New Roman" w:eastAsia="Times New Roman"/>
      <w:b/>
      <w:bCs/>
      <w:sz w:val="28"/>
      <w:szCs w:val="28"/>
    </w:rPr>
  </w:style>
  <w:style w:type="paragraph" w:styleId="Heading2">
    <w:name w:val="heading 2"/>
    <w:basedOn w:val="Normal"/>
    <w:next w:val="Normal"/>
    <w:link w:val="Heading2Char"/>
    <w:uiPriority w:val="9"/>
    <w:unhideWhenUsed/>
    <w:qFormat/>
    <w:rsid w:val="00FC693F"/>
    <w:pPr>
      <w:keepNext w:val="0"/>
      <w:keepLines w:val="0"/>
      <w:widowControl/>
      <w:spacing w:before="120" w:after="40" w:line="240" w:lineRule="auto"/>
      <w:outlineLvl w:val="1"/>
    </w:pPr>
    <w:rPr>
      <w:rFonts w:asciiTheme="majorHAnsi" w:eastAsiaTheme="majorEastAsia" w:hAnsiTheme="majorHAnsi" w:cstheme="majorBidi" w:ascii="Times New Roman" w:hAnsi="Times New Roman" w:eastAsia="Times New Roman"/>
      <w:b/>
      <w:bCs/>
      <w:sz w:val="26"/>
      <w:szCs w:val="26"/>
    </w:rPr>
  </w:style>
  <w:style w:type="paragraph" w:styleId="Heading3">
    <w:name w:val="heading 3"/>
    <w:basedOn w:val="Normal"/>
    <w:next w:val="Normal"/>
    <w:link w:val="Heading3Char"/>
    <w:uiPriority w:val="9"/>
    <w:unhideWhenUsed/>
    <w:qFormat/>
    <w:rsid w:val="00FC693F"/>
    <w:pPr>
      <w:keepNext w:val="0"/>
      <w:keepLines w:val="0"/>
      <w:widowControl/>
      <w:spacing w:before="120" w:after="40" w:line="240" w:lineRule="auto"/>
      <w:outlineLvl w:val="2"/>
    </w:pPr>
    <w:rPr>
      <w:rFonts w:asciiTheme="majorHAnsi" w:eastAsiaTheme="majorEastAsia" w:hAnsiTheme="majorHAnsi" w:cstheme="majorBidi" w:ascii="Times New Roman" w:hAnsi="Times New Roman" w:eastAsia="Times New Roman"/>
      <w:b/>
      <w:bCs/>
      <w:sz w:val="24"/>
    </w:rPr>
  </w:style>
  <w:style w:type="paragraph" w:styleId="Heading4">
    <w:name w:val="heading 4"/>
    <w:basedOn w:val="Normal"/>
    <w:next w:val="Normal"/>
    <w:link w:val="Heading4Char"/>
    <w:uiPriority w:val="9"/>
    <w:semiHidden/>
    <w:unhideWhenUsed/>
    <w:qFormat/>
    <w:rsid w:val="00FC693F"/>
    <w:pPr>
      <w:keepNext w:val="0"/>
      <w:keepLines w:val="0"/>
      <w:widowControl/>
      <w:spacing w:before="120" w:after="40" w:line="240" w:lineRule="auto"/>
      <w:outlineLvl w:val="3"/>
    </w:pPr>
    <w:rPr>
      <w:rFonts w:asciiTheme="majorHAnsi" w:eastAsiaTheme="majorEastAsia" w:hAnsiTheme="majorHAnsi" w:cstheme="majorBidi" w:ascii="Times New Roman" w:hAnsi="Times New Roman" w:eastAsia="Times New Roman"/>
      <w:b/>
      <w:bCs/>
      <w:i/>
      <w:iCs/>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6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