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processing (§6), the comparison with synthetic polymers (§7), applications (§8) and current status (§9).</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Fig.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184584" cy="1645919"/>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10"/>
                    <a:stretch>
                      <a:fillRect/>
                    </a:stretch>
                  </pic:blipFill>
                  <pic:spPr>
                    <a:xfrm>
                      <a:off x="0" y="0"/>
                      <a:ext cx="2184584" cy="1645919"/>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For each material below, the key property and its use come first, then the structural reason. The families range from cellulose, which is the stiffest and never melts, to natural rubber, which has almost no stiffness at rest and develops it only under load. The point tested throughout is that backbone chemistry, not biological origin, predicts melting behaviour, attack by water or enzymes, and mechanical performance. The numbers are in Table 2. Fig. 2 gives the force, consequence and limitation for each family on one row. Fig. 3 collects all the repeat units and Fig. 4 all the higher-order structures.</w:t>
      </w:r>
    </w:p>
    <w:p>
      <w:pPr>
        <w:keepNext/>
        <w:spacing w:after="40"/>
        <w:jc w:val="center"/>
      </w:pPr>
      <w:r>
        <w:drawing>
          <wp:inline xmlns:a="http://schemas.openxmlformats.org/drawingml/2006/main" xmlns:pic="http://schemas.openxmlformats.org/drawingml/2006/picture">
            <wp:extent cx="2419318" cy="1828800"/>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1"/>
                    <a:stretch>
                      <a:fillRect/>
                    </a:stretch>
                  </pic:blipFill>
                  <pic:spPr>
                    <a:xfrm>
                      <a:off x="0" y="0"/>
                      <a:ext cx="2419318" cy="1828800"/>
                    </a:xfrm>
                    <a:prstGeom prst="rect"/>
                  </pic:spPr>
                </pic:pic>
              </a:graphicData>
            </a:graphic>
          </wp:inline>
        </w:drawing>
      </w:r>
    </w:p>
    <w:p>
      <w:pPr>
        <w:spacing w:line="240" w:lineRule="auto" w:after="80"/>
        <w:jc w:val="center"/>
      </w:pPr>
      <w:r>
        <w:rPr>
          <w:i/>
          <w:sz w:val="20"/>
        </w:rPr>
        <w:t>Figure 2.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3a) forms a flat ribbon, and hydrogen bonds lock these ribbons into stacked Iα and Iβ sheets (Fig. 4a).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4b).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4c); a chelating agent reverses it. This is the basis of alginate hydrogels for wound dressings, cell encapsulation and bioprinting, and of its use as a food thickener. The fraction of guluronate blocks sets the balance between stiffness and brittleness (§8).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559248" cy="2788920"/>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2"/>
                    <a:stretch>
                      <a:fillRect/>
                    </a:stretch>
                  </pic:blipFill>
                  <pic:spPr>
                    <a:xfrm>
                      <a:off x="0" y="0"/>
                      <a:ext cx="4559248" cy="2788920"/>
                    </a:xfrm>
                    <a:prstGeom prst="rect"/>
                  </pic:spPr>
                </pic:pic>
              </a:graphicData>
            </a:graphic>
          </wp:inline>
        </w:drawing>
      </w:r>
    </w:p>
    <w:p>
      <w:pPr>
        <w:spacing w:line="240" w:lineRule="auto" w:after="80"/>
        <w:jc w:val="center"/>
      </w:pPr>
      <w:r>
        <w:rPr>
          <w:i/>
          <w:sz w:val="20"/>
        </w:rPr>
        <w:t>Figure 3.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(§7.2). A useful molecular weight needs ring-opening polymerisation of lactide, catalysed by Sn(Oct)₂ [40,41]. A PLLA/PDLA stereocomplex melts about 50 °C higher, because the two enantiomers pack together more tightly [6,7]. Both polymers pack as helices that still melt (Fig. 4d). PBS and PEF follow the same ester logic (§8).</w:t>
      </w:r>
    </w:p>
    <w:p>
      <w:pPr>
        <w:pStyle w:val="Heading2"/>
      </w:pPr>
      <w:r>
        <w:t>3.3 Protein-based Polymers</w:t>
      </w:r>
    </w:p>
    <w:p>
      <w:pPr>
        <w:jc w:val="both"/>
      </w:pPr>
      <w:r>
        <w:rPr>
          <w:b/>
          <w:i w:val="0"/>
        </w:rPr>
        <w:t>Silk fibroin</w:t>
      </w:r>
      <w:r>
        <w:rPr>
          <w:b w:val="0"/>
          <w:i w:val="0"/>
        </w:rPr>
        <w:t xml:space="preserve"> (Fig. 3h) is strong and tough at once, which is rare for any polymer, so it is used as a premium suture and tissue-scaffold material and as a model tough fibre. The toughness comes from β-sheet nanocrystallites, 2 to 4 nm across, held in a soft amorphous matrix (Fig. 4e)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4f) stabilised by a stereoelectronic effect from hydroxyproline [45]; on heating it unfolds into gelatin and does not refold. Zein, casein and soy proteins form films but are not structural (§8).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664456" cy="219456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3"/>
                    <a:stretch>
                      <a:fillRect/>
                    </a:stretch>
                  </pic:blipFill>
                  <pic:spPr>
                    <a:xfrm>
                      <a:off x="0" y="0"/>
                      <a:ext cx="4664456" cy="2194560"/>
                    </a:xfrm>
                    <a:prstGeom prst="rect"/>
                  </pic:spPr>
                </pic:pic>
              </a:graphicData>
            </a:graphic>
          </wp:inline>
        </w:drawing>
      </w:r>
    </w:p>
    <w:p>
      <w:pPr>
        <w:spacing w:line="240" w:lineRule="auto" w:after="80"/>
        <w:jc w:val="center"/>
      </w:pPr>
      <w:r>
        <w:rPr>
          <w:i/>
          <w:sz w:val="20"/>
        </w:rPr>
        <w:t>Figure 4.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3j-l)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6).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3127347" cy="150876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4"/>
                    <a:stretch>
                      <a:fillRect/>
                    </a:stretch>
                  </pic:blipFill>
                  <pic:spPr>
                    <a:xfrm>
                      <a:off x="0" y="0"/>
                      <a:ext cx="3127347" cy="1508760"/>
                    </a:xfrm>
                    <a:prstGeom prst="rect"/>
                  </pic:spPr>
                </pic:pic>
              </a:graphicData>
            </a:graphic>
          </wp:inline>
        </w:drawing>
      </w:r>
    </w:p>
    <w:p>
      <w:pPr>
        <w:spacing w:line="240" w:lineRule="auto" w:after="80"/>
        <w:jc w:val="center"/>
      </w:pPr>
      <w:r>
        <w:rPr>
          <w:i/>
          <w:sz w:val="20"/>
        </w:rPr>
        <w:t>Figure 6.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§7 and §8.</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§7.3). The shapes in Fig. 5b are ranges, not points. Sample form, moisture, crystallinity and thermal history each shift a material's data by up to a factor of ten; this reappears as "batch variability" in §7.2.</w:t>
      </w:r>
    </w:p>
    <w:p>
      <w:pPr>
        <w:keepNext/>
        <w:spacing w:after="40"/>
        <w:jc w:val="center"/>
      </w:pPr>
      <w:r>
        <w:drawing>
          <wp:inline xmlns:a="http://schemas.openxmlformats.org/drawingml/2006/main" xmlns:pic="http://schemas.openxmlformats.org/drawingml/2006/picture">
            <wp:extent cx="3687260" cy="169164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5"/>
                    <a:stretch>
                      <a:fillRect/>
                    </a:stretch>
                  </pic:blipFill>
                  <pic:spPr>
                    <a:xfrm>
                      <a:off x="0" y="0"/>
                      <a:ext cx="3687260" cy="169164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native starch, chitosan and silk have no window. (b) Modulus against elongation at break (log-log axes). The ellipses span literature values for the stated sample form and are not error bars. 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7).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5055837" cy="118872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6"/>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7.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Processing</w:t>
      </w:r>
    </w:p>
    <w:p>
      <w:pPr>
        <w:jc w:val="both"/>
      </w:pPr>
      <w:r>
        <w:rPr>
          <w:b w:val="0"/>
          <w:i w:val="0"/>
        </w:rPr>
        <w:t>The thermal windows of §5.1 set a two-way choice. A material with a stable melt window, above Tm and below the decomposition or hydrolysis onset, is melt-processed. PBS has a wide window. PLA must be dried first or its molecular weight collapses (§4). PHB has a window of only about 25 °C and needs tight control. Cellulose and chitosan have no melt window at all and are shaped from solution, by NMMO in the Lyocell process or by dilute-acid spinning. The countermeasures are the same in both cases: plasticisers, nucleating agents, compatibilised blends such as PLA with PBAT or PLA with thermoplastic starch, and nanocellulose reinforcement. The recurring point holds. Most reported "performance shortfalls" are processing-window shortfalls, not material-property shortfalls (§5.1 and §5.2).</w:t>
      </w:r>
    </w:p>
    <w:p>
      <w:pPr>
        <w:pStyle w:val="Heading1"/>
      </w:pPr>
      <w:r>
        <w:t>7. Advantages and Disadvantages Compared with Synthetic Polymers</w:t>
      </w:r>
    </w:p>
    <w:p>
      <w:pPr>
        <w:pStyle w:val="Heading2"/>
      </w:pPr>
      <w:r>
        <w:t>7.1 Where Biopolymers Genuinely Win</w:t>
      </w:r>
    </w:p>
    <w:p>
      <w:pPr>
        <w:jc w:val="both"/>
      </w:pPr>
      <w:r>
        <w:rPr>
          <w:b w:val="0"/>
          <w:i w:val="0"/>
        </w:rPr>
        <w:t>Four advantages come from the structure, and each traces back to §3. The first is a renewable feedstock. This is the only advantage that is uniform across all five families. The second is biodegradability where material is likely to leak into the environment, as with mulch film, fishing gear and disposable foodware. Here the tendency to hydrolyse or be attacked by enzymes stops being a fault and becomes the point, as long as the environment matches the material [51] (§5.4). The third is biocompatibility and bioresorbability. These let PLA and PGA sutures [52] and collagen, alginate and chitosan hydrogels and dressings [55] do what commodity synthetics cannot do without costly modification. This is the one area (§8) where biopolymers are the only workable class, though not without conditions (§7.3). The fourth is function beyond mechanics: chirality, pH-responsive charge and sequence-encoded bioactivity all come with the biological structure at no extra cost.</w:t>
      </w:r>
    </w:p>
    <w:p>
      <w:pPr>
        <w:pStyle w:val="Heading2"/>
      </w:pPr>
      <w:r>
        <w:t>7.2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7.3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8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887561" cy="146304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7"/>
                    <a:stretch>
                      <a:fillRect/>
                    </a:stretch>
                  </pic:blipFill>
                  <pic:spPr>
                    <a:xfrm>
                      <a:off x="0" y="0"/>
                      <a:ext cx="3887561" cy="1463040"/>
                    </a:xfrm>
                    <a:prstGeom prst="rect"/>
                  </pic:spPr>
                </pic:pic>
              </a:graphicData>
            </a:graphic>
          </wp:inline>
        </w:drawing>
      </w:r>
    </w:p>
    <w:p>
      <w:pPr>
        <w:spacing w:line="240" w:lineRule="auto" w:after="80"/>
        <w:jc w:val="center"/>
      </w:pPr>
      <w:r>
        <w:rPr>
          <w:i/>
          <w:sz w:val="20"/>
        </w:rPr>
        <w:t>Figure 8.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(§6).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8.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(§7.2).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about 2.31 Mt in 2025, which is under 1% of all plastics. It is projected to double by 2030, concentrated in bio-based PE, PP and PHA, even though PHA is the most expensive of them (§7.2) [16]. The bottlenecks are the three properties that organise §5: the processing window, the dependence on humidity, and batch variability. Scale alone solves none of them. Two directions look most promising. One is enzymatic depolymerisation back to monomer, where recent enzyme cocktails recovered about 60% of the lactic acid from post-consumer PLA in 72 h [17]. The other is ⚙️ data-driven property prediction (QSPR and polymer-informatics machine learning [56]), which could shorten the search from backbone chemistry to processing window.</w:t>
      </w:r>
    </w:p>
    <w:p>
      <w:pPr>
        <w:pStyle w:val="Heading1"/>
      </w:pPr>
      <w:r>
        <w:t>10.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(§7.3) reaches the same trade-off through formulation alone. Third, a molecular-weight figure means little without the method used to measure it (§4). The features that make molecular weight hard to measure are the same ones that explain performance.</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