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CM5174 group project · MSc Industrial Chemistry, National University of Singapore · [Date]</w:t>
      </w:r>
    </w:p>
    <w:p>
      <w:r>
        <w:rPr>
          <w:b/>
          <w:i/>
        </w:rPr>
        <w:t>AI Tool Declaration.</w:t>
      </w:r>
      <w:r>
        <w:rPr>
          <w:b w:val="0"/>
          <w:i/>
        </w:rPr>
        <w:t xml:space="preserve"> We used Claude (Anthropic) to draft, revise and copy-edit the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This review classifies biopolymers by the repeating linkage in the polymer backbone rather than by biological origin, and takes each material property and use first, structural cause second. Three patterns recur. The performance ceiling is set by thermal stability and water sensitivity, not by strength. Crystallinity governs a three-way trade-off between stiffness, water resistance and resistance to degradation, so improving one property worsens the other two. A reported molecular weight means little unless the measurement method is reported with it. A natural-rubber/SBR case study shows the same backbone-versus-formulation trade-off within one application. Every figure is generated by code from cited data and stereochemistry-checked structures.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They also bring brittleness, sensitivity to water, and a decomposition temperature close to or below the melting point (§5.4).</w:t>
      </w:r>
    </w:p>
    <w:p>
      <w:pPr>
        <w:jc w:val="both"/>
      </w:pPr>
      <w:r>
        <w:rPr>
          <w:b w:val="0"/>
          <w:i w:val="0"/>
        </w:rPr>
        <w:t>The review runs from classification (§2) and the family-by-family survey (§3) to molecular weight (§4), the property patterns shared across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Materials of the same origin can process and degrade in completely different ways, while materials of different origin often behave alike.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property and use come first, then the structural cause. The point tested throughout is that backbone chemistry, not biological origin, predicts melting behaviour, attack by water or enzymes, and mechanical performance. Numbers are in Table 2; Fig. 1 collects the repeat units and Fig. 2 the higher-order structures.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[35], and regenerated fibres of 10 to 30 GPa [36]. It never melts and decomposes near 300 °C, so it is shaped from solution: as Lyocell and viscose fibre [36], transparent film, and nanocrystals or nanofibrils used as reinforcing filler [2]. The reason is structural: the linear β-(1→4) chain (Fig. 1a) forms a flat ribbon, and hydrogen bonds lock these ribbons into stacked Iα and Iβ sheets (Fig. 2a).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but humidity-sensitive and prone to slow recrystallisation on storage (retrogradation) [38], so it is used mostly in blends with PLA or PBAT, for compostable bags, foamed trays and mulch film. The cause is chain arrangement, not chemistry: linear amylose and branched amylopectin give only a weak, humidity-reversible crystallinity, and the amylose coils into a helix that water can enter and plasticise (Fig. 2b).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2c); a chelating agent reverses it. This is the basis of alginate hydrogels for wound dressings, cell encapsulation and bioprinting, and of its use as a food thickener. The fraction of guluronate blocks sets the balance between gel stiffness and brittleness.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i w:val="0"/>
        </w:rPr>
        <w:t>PHA</w:t>
      </w:r>
      <w:r>
        <w:rPr>
          <w:b w:val="0"/>
          <w:i w:val="0"/>
        </w:rPr>
        <w:t xml:space="preserve"> is a stiff (1.5 to 4 GPa), brittle (1.5 to 8% elongation) thermoplastic that is fully biodegradable, used for rigid packaging, coatings and compostable items. PHB is the archetype (Fig. 1f). Its processing window is the narrowest in this review, about 20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2d). PBS and PEF follow the same ester logic (§7).</w:t>
      </w:r>
    </w:p>
    <w:p>
      <w:pPr>
        <w:pStyle w:val="Heading2"/>
      </w:pPr>
      <w:r>
        <w:t>3.3 Protein-based Polymers</w:t>
      </w:r>
    </w:p>
    <w:p>
      <w:pPr>
        <w:jc w:val="both"/>
      </w:pPr>
      <w:r>
        <w:rPr>
          <w:b/>
          <w:i w:val="0"/>
        </w:rPr>
        <w:t>Silk fibroin</w:t>
      </w:r>
      <w:r>
        <w:rPr>
          <w:b w:val="0"/>
          <w:i w:val="0"/>
        </w:rPr>
        <w:t xml:space="preserve"> (Fig. 1h) is strong and tough at once, which is rare for any polymer, so it is used as a premium suture and tissue-scaffold material and as a model tough fibre. The toughness comes from β-sheet nanocrystallites, 2 to 4 nm across, held in a soft amorphous matrix (Fig. 2e)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2f)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1j–l)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but excellent tear and fatigue resistance under load, which keeps it in tyres, engine mounts, gloves and adhesives despite synthetic competition. The stiffness is produced on demand: relaxed </w:t>
      </w:r>
      <w:r>
        <w:rPr>
          <w:i/>
        </w:rPr>
        <w:t>cis</w:t>
      </w:r>
      <w:r>
        <w:rPr>
          <w:b w:val="0"/>
          <w:i w:val="0"/>
        </w:rPr>
        <w:t xml:space="preserve">-1,4-polyisoprene is amorphous, but stretching crystallises it, and the crystallites reinforce the network. This strain-induced crystallisation (SIC) is well documented by X-ray diffraction and is largely absent in synthetic </w:t>
      </w:r>
      <w:r>
        <w:rPr>
          <w:i/>
        </w:rPr>
        <w:t>cis</w:t>
      </w:r>
      <w:r>
        <w:rPr>
          <w:b w:val="0"/>
          <w:i w:val="0"/>
        </w:rPr>
        <w:t xml:space="preserve">-polyisoprene [10]. It is not a fixed material constant. Molecular weight and its spread differ between </w:t>
      </w:r>
      <w:r>
        <w:rPr>
          <w:i/>
        </w:rPr>
        <w:t>Hevea</w:t>
      </w:r>
      <w:r>
        <w:rPr>
          <w:b w:val="0"/>
          <w:i w:val="0"/>
        </w:rPr>
        <w:t xml:space="preserve"> clones and with tree age [19], and the non-rubber protein and gel fraction plays an active, clone-dependent part in the network rather than acting as an impurity [18]. Natural rubber is compared directly with a synthetic analogue in §6.3.</w:t>
      </w:r>
    </w:p>
    <w:p>
      <w:pPr>
        <w:spacing w:line="240" w:lineRule="auto" w:after="40"/>
      </w:pPr>
      <w:r>
        <w:rPr>
          <w:b/>
          <w:i w:val="0"/>
          <w:sz w:val="20"/>
        </w:rPr>
        <w:t>Table 2.</w:t>
      </w:r>
      <w:r>
        <w:rPr>
          <w:b w:val="0"/>
          <w:i w:val="0"/>
          <w:sz w:val="20"/>
        </w:rPr>
        <w:t xml:space="preserve"> Thermal and mechanical properties of the biopolymers discussed in §3 (order-of-magnitude ranges; Tg/Tm and tensile data cross-checked against de Beukelaer et al. [11], PBS against Aliotta et al. [12], PLA against [42,43], and polyester decomposition onsets against [5,44]; the polysaccharide and protein Td values are representative TGA onsets from the general literature.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~255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Many reviews give biopolymer molecular weight only as "high", when what matters is the full distribution. The usual descriptors are the number-average Mn, the weight-average Mw, the dispersity Đ = Mw/Mn [46], and the degree of polymerisation. Đ is the most useful, because it controls how the material processes and how widely its mechanical properties scatter within one batch; Mn on its own does not.</w:t>
      </w:r>
    </w:p>
    <w:p>
      <w:pPr>
        <w:jc w:val="both"/>
      </w:pPr>
      <w:r>
        <w:rPr>
          <w:b w:val="0"/>
          <w:i w:val="0"/>
        </w:rPr>
        <w:t xml:space="preserve">The value of Đ follows from how the polymer was made (Fig. 3). Proteins and nucleic acids are built on a template, so every chain has the same length and Đ is exactly 1.0; every other route broadens the distribution, by an amount that depends on how tightly it is controlled. Natural rubber is the extreme case: harvested rather than chain-grown, its Mw and distribution shift between </w:t>
      </w:r>
      <w:r>
        <w:rPr>
          <w:i/>
        </w:rPr>
        <w:t>Hevea</w:t>
      </w:r>
      <w:r>
        <w:rPr>
          <w:b w:val="0"/>
          <w:i w:val="0"/>
        </w:rPr>
        <w:t xml:space="preserve"> clones and with tree age [19] in a way no synthetic polymer matches.</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develops full strength and toughness only once its chains are long enough to entangle, above a critical value Mc [48]; below Mc both collapse, and above Mc tensile strength rises with Mn and then levels off (Flory-type, σ ≈ σ∞ − K/Mn) [47]. Degradation shows up first as a fall in molecular weight, which costs little strength until the chains drop back below Mc, at which point performance fails suddenly.</w:t>
      </w:r>
    </w:p>
    <w:p>
      <w:pPr>
        <w:jc w:val="both"/>
      </w:pPr>
      <w:r>
        <w:rPr>
          <w:b w:val="0"/>
          <w:i w:val="0"/>
        </w:rPr>
        <w:t>Measuring biopolymer molecular weight is harder than for synthetic polymers. Cellulose dissolves in no standard SEC eluent and must be derivatised or dissolved in an aggressive solvent first; aggregation and chain branching further distort an SEC calibrated against linear standards. SEC-MALS and Mark-Houwink viscometry avoid the calibration problem, but Mark-Houwink parameters are missing for many biopolymer/solvent pairs. Published molecular weights for the same material therefore often differ by a factor of ten. This spread is mostly an artefact of method, so a value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§4.</w:t>
      </w:r>
    </w:p>
    <w:p>
      <w:pPr>
        <w:pStyle w:val="Heading1"/>
      </w:pPr>
      <w:r>
        <w:t>5. General Property Patterns</w:t>
      </w:r>
    </w:p>
    <w:p>
      <w:pPr>
        <w:jc w:val="both"/>
      </w:pPr>
      <w:r>
        <w:rPr>
          <w:b w:val="0"/>
          <w:i w:val="0"/>
        </w:rPr>
        <w:t>The previous section looked at each family on its own. This one asks what they have in common.</w:t>
      </w:r>
    </w:p>
    <w:p>
      <w:pPr>
        <w:pStyle w:val="Heading2"/>
      </w:pPr>
      <w:r>
        <w:t>5.1 Thermal Behaviour</w:t>
      </w:r>
    </w:p>
    <w:p>
      <w:pPr>
        <w:jc w:val="both"/>
      </w:pPr>
      <w:r>
        <w:rPr>
          <w:b w:val="0"/>
          <w:i w:val="0"/>
        </w:rPr>
        <w:t>For most biopolymers the decomposition temperature sits at or below the melting point (Fig. 4a).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20 °C, PHBV about 55 °C, and PLLA somewhat more [44]. Fig. 4a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4b).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LDPE, PP and PET [11,43]. Natural rubber is the exception: it has almost no modulus when relaxed and develops its properties only under load, by SIC (§3.5, §6.3). The shapes in Fig. 4b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Molecular dynamics simulations of oxygen and water transport in PLA reproduce this dependence by tracking the fractional free volume, and can screen a film before a packaging trial is run [57,58].</w:t>
      </w:r>
    </w:p>
    <w:p>
      <w:pPr>
        <w:pStyle w:val="Heading2"/>
      </w:pPr>
      <w:r>
        <w:t>5.4 Degradation as a Material Property</w:t>
      </w:r>
    </w:p>
    <w:p>
      <w:pPr>
        <w:jc w:val="both"/>
      </w:pPr>
      <w:r>
        <w:rPr>
          <w:b w:val="0"/>
          <w:i w:val="0"/>
        </w:rPr>
        <w:t>Degradation is a rate process that structure controls (Fig. 5).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Quantum-chemical calculations have mapped both the base-catalysed and the water-assisted neutral hydrolysis paths, and reproduce why polyesters hydrolyse far faster in acid or base than at neutral pH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Disadvantages</w:t>
      </w:r>
    </w:p>
    <w:p>
      <w:pPr>
        <w:jc w:val="both"/>
      </w:pPr>
      <w:r>
        <w:rPr>
          <w:b w:val="0"/>
          <w:i w:val="0"/>
        </w:rPr>
        <w:t>The disadvantages are equally structural. On cost, PLA typically sells at several times the price of commodity PE and PP, and PHA higher still [16,53]. On heat resistance, PLA without stereocomplexation (§3.2) has a heat deflection temperature of only about 55 to 65 °C, well below the 100 °C-plus of PP [13,42]. Its oxygen and CO₂ barrier matches that of PET, but its water-vapour barrier is worse, and starch films are worse again [14]. The real barrier weakness is therefore moisture sensitivity (§5.3) rather than oxygen permeation. Ageing compounds both: PHB embrittles on storage through secondary crystallisation and PLA through sub-Tg physical ageing [43], while starch properties drift with humidity and PLA must be dried before melt processing or its molecular weight falls out of control (§4).</w:t>
      </w:r>
    </w:p>
    <w:p>
      <w:pPr>
        <w:jc w:val="both"/>
      </w:pPr>
      <w:r>
        <w:rPr>
          <w:b w:val="0"/>
          <w:i w:val="0"/>
        </w:rPr>
        <w:t>Agricultural sourcing also introduces batch-to-batch variability that petrochemical monomers do not show, in the alginate M and G fractions, the chitosan degree of deacetylation, the starch amylose content, and the natural-rubber clone and tree age [19]. Compatibility with existing recycling streams is a further limitation: a 2022 study found PLA present at only 0 to 0.019% of PET recycling streams, kept there by near-infrared sorting below the roughly 1% level that measurably degrades recycled PET [15]. This is a dependence on sorting infrastructure rather than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in the same applications (tyre tread, damping, belting), so the differences between them trace to backbone chemistry rather than to processing. This is the cleanest same-application comparison in the review. Fig. 6 shows where the difference starts at the chain scale; Table 4 scores both materials across five dimensions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SIC gives better initial tear and crack-growth resistance [10,23]; SBR reaches comparable wear resistance through reinforcement and cure design [24]. This is the clearest case in the review of backbone chemistry trading off against formulation. The "natural is better" story does not survive the literature. NR latex carries a real protein-allergy risk that SBR does not [27,28], renewability does not guarantee a lower life-cycle footprint [29,30], and NR pricing has been the more volatile of the two, for climate and disease reasons unrelated to polymer chemistry [32].</w:t>
      </w:r>
    </w:p>
    <w:p>
      <w:pPr>
        <w:pStyle w:val="Heading1"/>
      </w:pPr>
      <w:r>
        <w:t>7. Applications</w:t>
      </w:r>
    </w:p>
    <w:p>
      <w:pPr>
        <w:jc w:val="both"/>
      </w:pPr>
      <w:r>
        <w:rPr>
          <w:b w:val="0"/>
          <w:i w:val="0"/>
        </w:rPr>
        <w:t>Table 5 lists each application by the property it needs and the material that meets it. Two patterns stand out. Packaging needs an O₂ and H₂O barrier, toughness and heat resistance above PLA's heat deflection temperature at once (§6.2); no single biopolymer gives all three (§5.3), so packaging is almost always multilayer or blended. Biomedical use is the one area where biopolymers are close to unique, combining biocompatibility with a tunable degradation rate (§5.4). Even there, PGA and PLGA sutures still fail mainly through a local pH drop from their acidic hydrolysis products [52,53], and collagen, alginate and chitosan carry the same logic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lowers the other two, and the NR/SBR case study (§6.3) reaches the same trade-off through formulation alone. Third, a molecular-weight figure means little without the method used to measure it (§4), and the features that make it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data-driven property prediction [56].</w:t>
      </w:r>
    </w:p>
    <w:p>
      <w:pPr>
        <w:pStyle w:val="Heading1"/>
      </w:pPr>
      <w:r>
        <w:t>References</w:t>
      </w:r>
    </w:p>
    <w:p>
      <w:pPr>
        <w:jc w:val="center"/>
      </w:pPr>
      <w:r>
        <w:rPr>
          <w:i/>
        </w:rPr>
        <w:t>60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p>
      <w:pPr>
        <w:spacing w:line="240" w:lineRule="auto" w:after="80"/>
        <w:jc w:val="both"/>
      </w:pPr>
      <w:r>
        <w:rPr>
          <w:b w:val="0"/>
          <w:i w:val="0"/>
        </w:rPr>
        <w:t xml:space="preserve">57. Lightfoot, J. C.; Castro-Dominguez, B.; Buchard, A.; Parker, S. C. A molecular dynamics approach to modelling oxygen diffusion in PLA and PLA clay nanocomposites. </w:t>
      </w:r>
      <w:r>
        <w:rPr>
          <w:i/>
        </w:rPr>
        <w:t>Mater. Adv.</w:t>
      </w:r>
      <w:r>
        <w:rPr>
          <w:b w:val="0"/>
          <w:i w:val="0"/>
        </w:rPr>
        <w:t xml:space="preserve"> </w:t>
      </w:r>
      <w:r>
        <w:rPr>
          <w:b/>
          <w:i w:val="0"/>
        </w:rPr>
        <w:t>2023</w:t>
      </w:r>
      <w:r>
        <w:rPr>
          <w:b w:val="0"/>
          <w:i w:val="0"/>
        </w:rPr>
        <w:t xml:space="preserve">, </w:t>
      </w:r>
      <w:r>
        <w:rPr>
          <w:i/>
        </w:rPr>
        <w:t>4</w:t>
      </w:r>
      <w:r>
        <w:rPr>
          <w:b w:val="0"/>
          <w:i w:val="0"/>
        </w:rPr>
        <w:t>, 2281–2291. DOI: 10.1039/D3MA00158J.</w:t>
      </w:r>
    </w:p>
    <w:p>
      <w:pPr>
        <w:spacing w:line="240" w:lineRule="auto" w:after="80"/>
        <w:jc w:val="both"/>
      </w:pPr>
      <w:r>
        <w:rPr>
          <w:b w:val="0"/>
          <w:i w:val="0"/>
        </w:rPr>
        <w:t xml:space="preserve">58. Wang, X.; Li, J.; Zhang, L. Understanding self-accelerated water diffusion within poly-lactic acid via molecular dynamics simulation. </w:t>
      </w:r>
      <w:r>
        <w:rPr>
          <w:i/>
        </w:rPr>
        <w:t>Chin. J. Chem. Eng.</w:t>
      </w:r>
      <w:r>
        <w:rPr>
          <w:b w:val="0"/>
          <w:i w:val="0"/>
        </w:rPr>
        <w:t xml:space="preserve"> </w:t>
      </w:r>
      <w:r>
        <w:rPr>
          <w:b/>
          <w:i w:val="0"/>
        </w:rPr>
        <w:t>2019</w:t>
      </w:r>
      <w:r>
        <w:rPr>
          <w:b w:val="0"/>
          <w:i w:val="0"/>
        </w:rPr>
        <w:t xml:space="preserve">, </w:t>
      </w:r>
      <w:r>
        <w:rPr>
          <w:i/>
        </w:rPr>
        <w:t>27</w:t>
      </w:r>
      <w:r>
        <w:rPr>
          <w:b w:val="0"/>
          <w:i w:val="0"/>
        </w:rPr>
        <w:t>, 759–764. DOI: 10.1016/j.cjche.2018.09.009.</w:t>
      </w:r>
    </w:p>
    <w:p>
      <w:pPr>
        <w:spacing w:line="240" w:lineRule="auto" w:after="80"/>
        <w:jc w:val="both"/>
      </w:pPr>
      <w:r>
        <w:rPr>
          <w:b w:val="0"/>
          <w:i w:val="0"/>
        </w:rPr>
        <w:t xml:space="preserve">59. Zhan, C.-G.; Landry, D. W.; Ornstein, R. L. Reaction pathways and energy barriers for alkaline hydrolysis of carboxylic acid esters in water studied by a hybrid supermolecule-polarizable continuum approach. </w:t>
      </w:r>
      <w:r>
        <w:rPr>
          <w:i/>
        </w:rPr>
        <w:t>J. Am. Chem. Soc.</w:t>
      </w:r>
      <w:r>
        <w:rPr>
          <w:b w:val="0"/>
          <w:i w:val="0"/>
        </w:rPr>
        <w:t xml:space="preserve"> </w:t>
      </w:r>
      <w:r>
        <w:rPr>
          <w:b/>
          <w:i w:val="0"/>
        </w:rPr>
        <w:t>2000</w:t>
      </w:r>
      <w:r>
        <w:rPr>
          <w:b w:val="0"/>
          <w:i w:val="0"/>
        </w:rPr>
        <w:t xml:space="preserve">, </w:t>
      </w:r>
      <w:r>
        <w:rPr>
          <w:i/>
        </w:rPr>
        <w:t>122</w:t>
      </w:r>
      <w:r>
        <w:rPr>
          <w:b w:val="0"/>
          <w:i w:val="0"/>
        </w:rPr>
        <w:t>, 2621–2627. DOI: 10.1021/ja9937932.</w:t>
      </w:r>
    </w:p>
    <w:p>
      <w:pPr>
        <w:spacing w:line="240" w:lineRule="auto" w:after="80"/>
        <w:jc w:val="both"/>
      </w:pPr>
      <w:r>
        <w:rPr>
          <w:b w:val="0"/>
          <w:i w:val="0"/>
        </w:rPr>
        <w:t xml:space="preserve">60. Yamabe, S.; Tsuchida, N.; Hayashida, Y. Reaction paths of the water-assisted neutral hydrolysis of ethyl acetate. </w:t>
      </w:r>
      <w:r>
        <w:rPr>
          <w:i/>
        </w:rPr>
        <w:t>J. Phys. Chem. A</w:t>
      </w:r>
      <w:r>
        <w:rPr>
          <w:b w:val="0"/>
          <w:i w:val="0"/>
        </w:rPr>
        <w:t xml:space="preserve"> </w:t>
      </w:r>
      <w:r>
        <w:rPr>
          <w:b/>
          <w:i w:val="0"/>
        </w:rPr>
        <w:t>2005</w:t>
      </w:r>
      <w:r>
        <w:rPr>
          <w:b w:val="0"/>
          <w:i w:val="0"/>
        </w:rPr>
        <w:t xml:space="preserve">, </w:t>
      </w:r>
      <w:r>
        <w:rPr>
          <w:i/>
        </w:rPr>
        <w:t>109</w:t>
      </w:r>
      <w:r>
        <w:rPr>
          <w:b w:val="0"/>
          <w:i w:val="0"/>
        </w:rPr>
        <w:t>, 7216–7224. DOI: 10.1021/jp058029i.</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