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reads each material property-and-use first, structural reason second. Three patterns recur: the performance ceiling is set by thermal stability and water sensitivity, not by strength; crystallinity governs a three-way trade-off between stiffness, water resistance and resistance to degradation, so improving one property worsens the other two; and a reported molecular weight is meaningful only when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 materials of the same origin can process and degrade in completely different ways, and materials of different origins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takes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ester-hydrolysis barriers rise in the order base-catalysed &lt; acid-catalysed &lt; neutral, matching the measured pH dependence of the rate.</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typically sells at several times the price of commodity PE and PP, and PHA higher still [16,53].</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 the cleanest same-application comparison in the review. Fig. 6 shows where the difference starts at the chain scale; Table 5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 the basis of the SIC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4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 though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 supplying stiffness, keeping water out and keeping degradative attack out, so raising one lowers the other two;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