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reads each material property-and-use first, structural reason second. Three patterns recur: the performance ceiling is set by thermal stability and water sensitivity, not by strength; crystallinity governs a three-way trade-off between stiffness, water resistance and resistance to degradation, so improving one property worsens the other two; and a reported molecular weight is meaningful only when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 materials of the same origin can process and degrade in completely different ways, and materials of different origins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so it is shaped from solution —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takes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decomposition onsets against [5,44];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~255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Computed ester-hydrolysis barriers rise in the order base-catalysed &lt; acid-catalysed &lt; neutral, matching the measured pH dependence of the rate.</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Disadvantages</w:t>
      </w:r>
    </w:p>
    <w:p>
      <w:pPr>
        <w:jc w:val="both"/>
      </w:pPr>
      <w:r>
        <w:rPr>
          <w:b w:val="0"/>
          <w:i w:val="0"/>
        </w:rPr>
        <w:t>The disadvantages are equally structural. On cost, PLA typically sells at several times the price of commodity PE and PP, and PHA higher still [16,53]. On heat resistance, PLA without stereocomplexation (§3.2) has a heat deflection temperature of only about 55 to 65 °C, well below the 100 °C-plus of PP [13,42]; its oxygen and CO₂ barrier matches that of PET, but its water-vapour barrier is worse and starch films are worse again [14], so the real barrier weakness is moisture sensitivity (§5.3) rather than oxygen permeation. Ageing compounds both: PHB embrittles on storage through secondary crystallisation and PLA through sub-Tg physical ageing [43], while starch properties drift with humidity and PLA must be dried before melt processing or its molecular weight falls out of control (§4).</w:t>
      </w:r>
    </w:p>
    <w:p>
      <w:pPr>
        <w:jc w:val="both"/>
      </w:pPr>
      <w:r>
        <w:rPr>
          <w:b w:val="0"/>
          <w:i w:val="0"/>
        </w:rPr>
        <w:t>Agricultural sourcing also introduces batch-to-batch variability that petrochemical monomers do not show, in the alginate M and G fractions, the chitosan degree of deacetylation, the starch amylose content, and the natural-rubber clone and tree age [19]. Compatibility with existing recycling streams is a further limitation: a 2022 study found PLA present at only 0 to 0.019% of PET recycling streams, kept there by near-infrared sorting below the roughly 1% level that measurably degrades recycled PET [15] — a dependence on sorting infrastructure rather than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 the cleanest same-application comparison in the review. Fig. 6 shows where the difference starts at the chain scale; Table 5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 the basis of the SIC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4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 though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 supplying stiffness, keeping water out and keeping degradative attack out, so raising one lowers the other two;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56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