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reads each material property-and-use first, structural reason second. Three patterns recur: the performance ceiling is set by thermal stability and water sensitivity, not by strength; crystallinity governs a three-way trade-off between stiffness, water resistance and resistance to degradation, so improving one property worsens the other two; and a reported molecular weight is meaningful only when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 materials of the same origin can process and degrade in completely different ways, and materials of different origins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4114800" cy="3110440"/>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4114800" cy="3110440"/>
                    </a:xfrm>
                    <a:prstGeom prst="rect"/>
                  </pic:spPr>
                </pic:pic>
              </a:graphicData>
            </a:graphic>
          </wp:inline>
        </w:drawing>
      </w:r>
    </w:p>
    <w:p>
      <w:pPr>
        <w:spacing w:line="240" w:lineRule="auto" w:after="80"/>
        <w:jc w:val="center"/>
      </w:pPr>
      <w:r>
        <w:rPr>
          <w:i/>
          <w:sz w:val="20"/>
        </w:rPr>
        <w:t>Figure 1. Structure-to-property chain, one row per family: dominant intermolecular force → key consequence → key limitation. The five backbone classes of Table 1 appear as seven rows (polysaccharides and polyesters are each split into two members that behave differently). Colour follows backbone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(a–e) polysaccharides cellulose, amylose, chitosan, alginate M, alginate G —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3.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takes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cross-checked against de Beukelaer et al. [11], with PBS from Aliotta et al. [12] and PLA from Auras et al. [42] and Farah et al. [43];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4).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5.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114800" cy="967465"/>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typically sells at several times the price of commodity PE and PP, and PHA higher still [16,53].</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 the cleanest same-application comparison in the review. Fig. 7 shows where the difference starts at the chain scale; Table 5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7. NR and SBR, drawn by the authors. (a) NR cis-1,4-polyisoprene; (b) SBR butadiene unit; (c) SBR styrene unit. (d) Under strain, stereoregular NR aligns into crystalline bundles (strain-induced crystallisation, X-ray confirmed) while SBR's irregular backbone stays amorphous — the basis of the SIC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combining biocompatibility with a degradation rate that can be tuned (§5.4) — though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