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 2026-08-29 的改写重做了一遍：句子改短，不用破折号， §3 改成先讲性质和用途、再讲结构原因。图仍为 8 张多面板合集图，图内文字是英文；参考文献著录格式保留英文。英文稿里的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待办标记，翻译时原样保留。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1 把每个家族的作用力、结果和局限放在一行上。图 2 汇总了所有重复单元，图 3 汇总了所有高阶结构。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16903" cy="1600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6903" cy="160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1．从结构到性质的链条，每个家族一行。每行从左到右读：主导分子间作用力，到关键结果，再到关键局限。表 1 的五类主链在这里显示为七行，因为多糖和聚酯各拆成行为不同的两个成员。颜色按主链化学类别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2a）形成伸展的扁平带状结构。氢键把这些带状链锁进堆叠的 Iα 和 Iβ 片层（图 3a）。把片层结合在一起的总能量大于主链键的强度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3b）。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3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36055" cy="2468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6055" cy="2468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(m)：顺-1,4-聚异戊二烯。海藻酸 G 只核对了"是 M 的 C5 差向异构体"，提交前需再核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2f）。它用于硬质包装、涂层和可堆肥物品。它的加工窗口是本文中最窄的，约 25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3d）。PBS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2h）同时既强又韧，这对任何聚合物都很少见。所以它用作高级缝合线和组织支架材料，也用作韧性纤维的研究模型。这份韧性来自 2 到 4 nm 大小的 β-折叠纳米晶体，它们分散在柔顺的无定形基体中（图 3e）[8]。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3f），由羟脯氨酸的立体电子效应稳定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81399" cy="1920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1399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2j-l）的自由基偶联搭出一个不规则的交联网络，没有重复的链。β-O-4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PROVISIONAL。它们是教学级估计范围，用来让图 5 和本表内部自洽。提交前每一条都必须替换为有文献支撑的数值，并注明测试条件（试样形态、含水量、热历史）。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4）。蛋白质和核酸按模板合成，每条链长度一样，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43042" cy="137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3042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4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5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25 °C，PHBV 约 55 °C，PLLA 稍宽一些 [44]。图 5a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5b）。高结晶度和密集氢键把模量抬上去，但也留不下几段柔性链段，所以生物聚合物不能像聚乙烯、聚丙烯那样在断裂前拉长。大多数生物聚合物因此落在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5b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88293" cy="1554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8293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或淀粉薄膜的阻隔等级必须连同一个储存湿度一起给出，而不能是一个单一数字。⚙️ 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6）。聚酯通过一种会自我催化的酯水解降解。每次断链留下的酸性端基会加速下一次断链，所以制品薄到临界厚度以下之后，它的内部比表面侵蚀得更快。这就是本体侵蚀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[50]。因此结晶度是本文的核心权衡。设定模量（§5.2）、把水挡在外面（§5.3）的同一个特征，也把会降解材料的攻击挡在外面。⚙️ 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66927" cy="1097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6927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7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44589" cy="137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4589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万吨，不到全球塑料的 1%，预计到 2030 年翻倍 [16]。扩大规模本身解决不了加工窗口、湿度敏感性和批次变异性。较近的应对路线是酶促解聚回单体（近期从消费后 PLA 在 72 小时内回收了约 60% 的乳酸 [17]），以及 ⚙️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的数值仍需逐行对全文核对；§6.2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