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Biopolymers are made from or derived from renewable resources. The main families are the polysaccharides, the proteins, the biopolyesters, lignin and natural rubber. They are candidate replacements for petrochemical plastics, but their properties, and the limits on those properties, follow directly from the chemistry of the polymer backbone. This review classifies the families by the repeating linkage in that backbone rather than by biological origin. For each material it gives the key property and the use first, then the structural reason. Three patterns hold across the families. First, the performance ceiling is set by thermal behaviour and water sensitivity, not by strength. Second, crystallinity controls a three-way trade-off: the same crystallinity that makes a material stiff also keeps water out and slows the hydrolysis or enzyme attack that would degrade it, so improving one property tends to worsen the other two. Third, a reported molecular weight is only useful when the method used to measure it is reported too. A short case study of natural rubber against synthetic SBR shows the same backbone-versus-formulation trade-off inside one application. Every figure is generated by code from cited data and from chemical structures that a script checks against their expected stereochemistry.</w:t>
      </w:r>
    </w:p>
    <w:p>
      <w:pPr>
        <w:jc w:val="both"/>
      </w:pPr>
      <w:r>
        <w:rPr>
          <w:b/>
          <w:i w:val="0"/>
        </w:rPr>
        <w:t>Keywords:</w:t>
      </w:r>
      <w:r>
        <w:rPr>
          <w:b w:val="0"/>
          <w:i w:val="0"/>
        </w:rPr>
        <w:t xml:space="preserve"> biopolymers; cellulose; poly(lactic acid); polyhydroxyalkanoates; molecular-weight distribution; biodegradation; structure-property relationships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but also brittleness, sensitivity to water, and a decomposition temperature that is close to, or below, the melting point (§5.4).</w:t>
      </w:r>
    </w:p>
    <w:p>
      <w:pPr>
        <w:jc w:val="both"/>
      </w:pPr>
      <w:r>
        <w:rPr>
          <w:b w:val="0"/>
          <w:i w:val="0"/>
        </w:rPr>
        <w:t>The review moves from classification (§2) and the family-by-family survey (§3) to molecular weight (§4), the property patterns shared by all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though. Two materials of the same origin can process and degrade in completely different ways, and two of different origins can behave the same.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key property and its use come first, then the structural reason. The point tested throughout is that backbone chemistry, not biological origin, predicts melting behaviour, attack by water or enzymes, and mechanical performance. Numbers are in Table 2; Fig. 1 gives the force, consequence and limitation for each family on one row; Fig. 2 collects the repeat units and Fig. 3 the higher-order structures.</w:t>
      </w:r>
    </w:p>
    <w:p>
      <w:pPr>
        <w:keepNext/>
        <w:spacing w:after="40"/>
        <w:jc w:val="center"/>
      </w:pPr>
      <w:r>
        <w:drawing>
          <wp:inline xmlns:a="http://schemas.openxmlformats.org/drawingml/2006/main" xmlns:pic="http://schemas.openxmlformats.org/drawingml/2006/picture">
            <wp:extent cx="2116903" cy="1600199"/>
            <wp:docPr id="1" name="Picture 1"/>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116903" cy="1600199"/>
                    </a:xfrm>
                    <a:prstGeom prst="rect"/>
                  </pic:spPr>
                </pic:pic>
              </a:graphicData>
            </a:graphic>
          </wp:inline>
        </w:drawing>
      </w:r>
    </w:p>
    <w:p>
      <w:pPr>
        <w:spacing w:line="240" w:lineRule="auto" w:after="80"/>
        <w:jc w:val="center"/>
      </w:pPr>
      <w:r>
        <w:rPr>
          <w:i/>
          <w:sz w:val="20"/>
        </w:rPr>
        <w:t>Figure 1. Structure-to-property chain, one row per family. Each row reads left to right from the dominant intermolecular force, to the key consequence, to the key limitation. The five backbone classes of Table 1 appear as seven rows, because polysaccharides and polyesters are each split into two members that behave differently. Colour follows the backbone-chemistry class.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With no melt step, it is shaped from solution, as Lyocell and viscose fibre [36], transparent film, and nanocrystals or nanofibrils used as reinforcing filler [2]. The reason is structural. The linear β-(1→4) chain (Fig. 2a) forms a flat ribbon, and hydrogen bonds lock these ribbons into stacked Iα and Iβ sheets (Fig. 3a).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It is humidity-sensitive and recrystallises slowly on storage (retrogradation) [38], so it is used mostly in blends with PLA or PBAT, for compostable bags, foamed trays and mulch film. The cause is chain arrangement, not chemistry. Linear amylose and branched amylopectin together give only a weak, humidity-reversible crystallinity, and the amylose coils into a helix that water can enter and plasticise (Fig. 3b).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3c); a chelating agent reverses it. This is the basis of alginate hydrogels for wound dressings, cell encapsulation and bioprinting, and of its use as a food thickener. The fraction of guluronate blocks sets the balance between stiffness and brittleness (§7).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036055" cy="2468879"/>
            <wp:docPr id="2" name="Picture 2"/>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4036055" cy="2468879"/>
                    </a:xfrm>
                    <a:prstGeom prst="rect"/>
                  </pic:spPr>
                </pic:pic>
              </a:graphicData>
            </a:graphic>
          </wp:inline>
        </w:drawing>
      </w:r>
    </w:p>
    <w:p>
      <w:pPr>
        <w:spacing w:line="240" w:lineRule="auto" w:after="80"/>
        <w:jc w:val="center"/>
      </w:pPr>
      <w:r>
        <w:rPr>
          <w:i/>
          <w:sz w:val="20"/>
        </w:rPr>
        <w:t>Figure 2. Repeat units, drawn by the authors with RDKit from stereochemistry-checked SMILES, coloured by backbone class. Polysaccharides (a) to (e): cellulose, amylose, chitosan, alginate M, alginate G; (a) and (b) differ only at C1, (d) and (e) only at C5. Polyesters (f) to (g): PHB, PLLA, with (R) and (S) marked. Proteins (h) to (i): silk fibroin (Gly-Ala)ₙ, collagen Gly-Pro-Hyp. Lignin precursors (j) to (l): p-coumaryl, coniferyl and sinapyl alcohol (0, 1, 2 methoxy groups). Rubber (m): cis-1,4-polyisoprene. Alginate G is verified only as the C5 epimer of M; cross-check before submission.</w:t>
      </w:r>
    </w:p>
    <w:p>
      <w:pPr>
        <w:pStyle w:val="Heading2"/>
      </w:pPr>
      <w:r>
        <w:t>3.2 Polyesters: PHA and PLA</w:t>
      </w:r>
    </w:p>
    <w:p>
      <w:pPr>
        <w:jc w:val="both"/>
      </w:pPr>
      <w:r>
        <w:rPr>
          <w:b/>
          <w:i w:val="0"/>
        </w:rPr>
        <w:t>PHA</w:t>
      </w:r>
      <w:r>
        <w:rPr>
          <w:b w:val="0"/>
          <w:i w:val="0"/>
        </w:rPr>
        <w:t xml:space="preserve"> is a stiff (1.5 to 4 GPa), brittle (2 to 8% elongation) thermoplastic that is fully biodegradable, used for rigid packaging, coatings and compostable items. PHB is the archetype (Fig. 3f). Its processing window is the narrowest in this review, about 25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4d). PBS and PEF follow the same ester logic (§7).</w:t>
      </w:r>
    </w:p>
    <w:p>
      <w:pPr>
        <w:pStyle w:val="Heading2"/>
      </w:pPr>
      <w:r>
        <w:t>3.3 Protein-based Polymers</w:t>
      </w:r>
    </w:p>
    <w:p>
      <w:pPr>
        <w:jc w:val="both"/>
      </w:pPr>
      <w:r>
        <w:rPr>
          <w:b/>
          <w:i w:val="0"/>
        </w:rPr>
        <w:t>Silk fibroin</w:t>
      </w:r>
      <w:r>
        <w:rPr>
          <w:b w:val="0"/>
          <w:i w:val="0"/>
        </w:rPr>
        <w:t xml:space="preserve"> (Fig. 2h) is strong and tough at once, which is rare for any polymer, so it is used as a premium suture and tissue-scaffold material and as a model tough fibre. The toughness comes from β-sheet nanocrystallites, 2 to 4 nm across, held in a soft amorphous matrix (Fig. 3e)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3f)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081399" cy="1920240"/>
            <wp:docPr id="3" name="Picture 3"/>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4081399" cy="1920240"/>
                    </a:xfrm>
                    <a:prstGeom prst="rect"/>
                  </pic:spPr>
                </pic:pic>
              </a:graphicData>
            </a:graphic>
          </wp:inline>
        </w:drawing>
      </w:r>
    </w:p>
    <w:p>
      <w:pPr>
        <w:spacing w:line="240" w:lineRule="auto" w:after="80"/>
        <w:jc w:val="center"/>
      </w:pPr>
      <w:r>
        <w:rPr>
          <w:i/>
          <w:sz w:val="20"/>
        </w:rPr>
        <w:t>Figure 3. Higher-order structure, drawn by the authors: (a) cellulose ribbon, then hydrogen-bonded sheet, then Iα/Iβ crystal; (b) amylose left-handed helix; (c) alginate Ca²⁺ "egg-box" G-block junction; (d) PHA and PLA helical packing (PHB 2₁, PLLA 10₃); (e) silk antiparallel β-sheet nanocrystallites (2 to 4 nm) in an amorphous matrix; (f) collagen Gly-X-Y triple helix, with glycine at every third position. Each structure is discussed in §3.1 to §3.5.</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3j-l)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Under load it has excellent tear and fatigue resistance. That is why it is still used in tyres, engine mounts, gloves and adhesives despite synthetic competition. The stiffness is produced on demand. Relaxed </w:t>
      </w:r>
      <w:r>
        <w:rPr>
          <w:i/>
        </w:rPr>
        <w:t>cis</w:t>
      </w:r>
      <w:r>
        <w:rPr>
          <w:b w:val="0"/>
          <w:i w:val="0"/>
        </w:rPr>
        <w:t xml:space="preserve">-1,4-polyisoprene is amorphous, but when it is stretched it crystallises, and the crystallites reinforce the network. This strain-induced crystallisation is well documented by X-ray diffraction and is mostly absent in synthetic </w:t>
      </w:r>
      <w:r>
        <w:rPr>
          <w:i/>
        </w:rPr>
        <w:t>cis</w:t>
      </w:r>
      <w:r>
        <w:rPr>
          <w:b w:val="0"/>
          <w:i w:val="0"/>
        </w:rPr>
        <w:t xml:space="preserve">-polyisoprene [10]. It is not a fixed material constant. The molecular weight and its spread differ between </w:t>
      </w:r>
      <w:r>
        <w:rPr>
          <w:i/>
        </w:rPr>
        <w:t>Hevea</w:t>
      </w:r>
      <w:r>
        <w:rPr>
          <w:b w:val="0"/>
          <w:i w:val="0"/>
        </w:rPr>
        <w:t xml:space="preserve"> clones and with the age of the tree [19], and the non-rubber protein and gel content takes an active, clone-dependent part in the network rather than acting as an impurity [18]. The variable that matters is therefore the arrangement of the chains under the conditions of use. This is tested against a synthetic analogue in §6.3.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are PROVISIONAL. They are teaching-level ranges chosen to keep Fig. 5 and this table internally consistent. Each one must be replaced before submission with a cited literature value, matched to a stated test condition (sample form, moisture, thermal history).</w:t>
      </w:r>
    </w:p>
    <w:p>
      <w:pPr>
        <w:pStyle w:val="Heading1"/>
      </w:pPr>
      <w:r>
        <w:t>4. Molecular Weight and Its Measurement</w:t>
      </w:r>
    </w:p>
    <w:p>
      <w:pPr>
        <w:jc w:val="both"/>
      </w:pPr>
      <w:r>
        <w:rPr>
          <w:b w:val="0"/>
          <w:i w:val="0"/>
        </w:rPr>
        <w:t>Many reviews give biopolymer molecular weight only as "high". What matters more is the full distribution, not just the average. The usual descriptors are the number-average Mn, the weight-average Mw, the dispersity Đ = Mw/Mn [46], and the degree of polymerisation. Đ is the most useful of these, because it controls how the material processes and how widely its mechanical properties scatter within one batch; Mn on its own does not.</w:t>
      </w:r>
    </w:p>
    <w:p>
      <w:pPr>
        <w:jc w:val="both"/>
      </w:pPr>
      <w:r>
        <w:rPr>
          <w:b w:val="0"/>
          <w:i w:val="0"/>
        </w:rPr>
        <w:t xml:space="preserve">The value of Đ follows directly from how the polymer was made (Fig. 4). Proteins and nucleic acids are built on a template, so every chain has the same length and Đ is exactly 1.0. Every other route broadens the distribution. Extraction (cellulose, chitosan, natural rubber) and catalysed polymerisation (PHA, PLA) each give a Đ that depends on how tightly the route is controlled. Natural rubber is the extreme case: it is harvested rather than chain-grown, so its Mw and its distribution change from one </w:t>
      </w:r>
      <w:r>
        <w:rPr>
          <w:i/>
        </w:rPr>
        <w:t>Hevea</w:t>
      </w:r>
      <w:r>
        <w:rPr>
          <w:b w:val="0"/>
          <w:i w:val="0"/>
        </w:rPr>
        <w:t xml:space="preserve"> clone to another and with the age of the tree [19]. No synthetic polymer varies this way.</w:t>
      </w:r>
    </w:p>
    <w:p>
      <w:pPr>
        <w:keepNext/>
        <w:spacing w:after="40"/>
        <w:jc w:val="center"/>
      </w:pPr>
      <w:r>
        <w:drawing>
          <wp:inline xmlns:a="http://schemas.openxmlformats.org/drawingml/2006/main" xmlns:pic="http://schemas.openxmlformats.org/drawingml/2006/picture">
            <wp:extent cx="2843042" cy="1371600"/>
            <wp:docPr id="4" name="Picture 4"/>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2843042" cy="1371600"/>
                    </a:xfrm>
                    <a:prstGeom prst="rect"/>
                  </pic:spPr>
                </pic:pic>
              </a:graphicData>
            </a:graphic>
          </wp:inline>
        </w:drawing>
      </w:r>
    </w:p>
    <w:p>
      <w:pPr>
        <w:spacing w:line="240" w:lineRule="auto" w:after="80"/>
        <w:jc w:val="center"/>
      </w:pPr>
      <w:r>
        <w:rPr>
          <w:i/>
          <w:sz w:val="20"/>
        </w:rPr>
        <w:t>Figure 4.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only develops full strength and toughness once its chains are long enough to entangle, above a critical value Mc [48]. Below Mc, both collapse. Above Mc, tensile strength rises with Mn and then levels off (Flory-type, σ ≈ σ∞ − K/Mn) [47]. Degradation shows up first as a fall in molecular weight. It costs little strength until the chains drop back below Mc. At that point performance fails suddenly. The same failure mode returns in §6 and §7.</w:t>
      </w:r>
    </w:p>
    <w:p>
      <w:pPr>
        <w:jc w:val="both"/>
      </w:pPr>
      <w:r>
        <w:rPr>
          <w:b w:val="0"/>
          <w:i w:val="0"/>
        </w:rPr>
        <w:t>Measuring biopolymer molecular weight is harder than for synthetic polymers. Cellulose dissolves in no standard SEC eluent, so it must be derivatised or dissolved in an aggressive solvent first. Aggregation and chain branching also distort an SEC calibrated against linear standards. SEC-MALS and Mark-Houwink viscometry avoid the calibration problem, but Mark-Houwink parameters have not been measured for many biopolymer and solvent pairs. As a result, published molecular weights for the same material often differ by a factor of ten. This is mostly an artefact of the method, so a molecular weight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4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looked at each family on its own. This section asks what the families have in common.</w:t>
      </w:r>
    </w:p>
    <w:p>
      <w:pPr>
        <w:pStyle w:val="Heading2"/>
      </w:pPr>
      <w:r>
        <w:t>5.1 Thermal Behaviour</w:t>
      </w:r>
    </w:p>
    <w:p>
      <w:pPr>
        <w:jc w:val="both"/>
      </w:pPr>
      <w:r>
        <w:rPr>
          <w:b w:val="0"/>
          <w:i w:val="0"/>
        </w:rPr>
        <w:t>For most biopolymers the decomposition temperature sits at or below the melting point (Fig. 5a).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25 °C, PHBV about 55 °C, and PLLA somewhat more [44]. Fig. 5a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5b).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PE, PP and PET [11,43]. Natural rubber is the exception: it has almost no modulus when relaxed and develops its properties only under load, by strain-induced crystallisation (§3.5, §6.3). The shapes in Fig. 5b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3388293" cy="1554480"/>
            <wp:docPr id="5" name="Picture 5"/>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3388293" cy="155448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 to Td), with its width labelled; cellulose, native starch, chitosan and silk have no window. (b) Modulus against elongation at break (log-log axes). The ellipses span literature values for the stated sample form and are not error bars. PE, PP and PET are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6).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 Computed ester-hydrolysis barriers rise in the order base-catalysed, then acid-catalysed, then neutral, which matches the measured pH dependence of the rate.</w:t>
      </w:r>
    </w:p>
    <w:p>
      <w:pPr>
        <w:keepNext/>
        <w:spacing w:after="40"/>
        <w:jc w:val="center"/>
      </w:pPr>
      <w:r>
        <w:drawing>
          <wp:inline xmlns:a="http://schemas.openxmlformats.org/drawingml/2006/main" xmlns:pic="http://schemas.openxmlformats.org/drawingml/2006/picture">
            <wp:extent cx="4666927" cy="1097280"/>
            <wp:docPr id="6" name="Picture 6"/>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4666927" cy="1097280"/>
                    </a:xfrm>
                    <a:prstGeom prst="rect"/>
                  </pic:spPr>
                </pic:pic>
              </a:graphicData>
            </a:graphic>
          </wp:inline>
        </w:drawing>
      </w:r>
    </w:p>
    <w:p>
      <w:pPr>
        <w:spacing w:line="240" w:lineRule="auto" w:after="80"/>
        <w:jc w:val="center"/>
      </w:pPr>
      <w:r>
        <w:rPr>
          <w:i/>
          <w:sz w:val="20"/>
        </w:rPr>
        <w:t>Figure 6.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Where Biopolymers Genuinely Win</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Where They Lose, Stated with Numbers</w:t>
      </w:r>
    </w:p>
    <w:p>
      <w:pPr>
        <w:pStyle w:val="ListBullet"/>
      </w:pPr>
      <w:r>
        <w:rPr>
          <w:b/>
          <w:i w:val="0"/>
        </w:rPr>
        <w:t>Price.</w:t>
      </w:r>
      <w:r>
        <w:rPr>
          <w:b w:val="0"/>
          <w:i w:val="0"/>
        </w:rPr>
        <w:t xml:space="preserve"> PLA costs several times as much as commodity PE and PP, and PHA costs more still [16,53]. A price per kilogram for a specific material still needs a current market report.</w:t>
      </w:r>
    </w:p>
    <w:p>
      <w:pPr>
        <w:pStyle w:val="ListBullet"/>
      </w:pPr>
      <w:r>
        <w:rPr>
          <w:b/>
          <w:i w:val="0"/>
        </w:rPr>
        <w:t>Heat and barrier.</w:t>
      </w:r>
      <w:r>
        <w:rPr>
          <w:b w:val="0"/>
          <w:i w:val="0"/>
        </w:rPr>
        <w:t xml:space="preserve"> Without stereocomplexation (§3.2), PLA's heat deflection temperature of about 55 to 65 °C sits well below PP's, which is above 100 °C [13,42]. PLA's O₂ and CO₂ transmission matches that of PET, but its water-vapour barrier is worse, and starch films are worse again [14]. The real weakness is moisture sensitivity (§5.3), not oxygen barrier.</w:t>
      </w:r>
    </w:p>
    <w:p>
      <w:pPr>
        <w:pStyle w:val="ListBullet"/>
      </w:pPr>
      <w:r>
        <w:rPr>
          <w:b/>
          <w:i w:val="0"/>
        </w:rPr>
        <w:t>Brittleness and water uptake.</w:t>
      </w:r>
      <w:r>
        <w:rPr>
          <w:b w:val="0"/>
          <w:i w:val="0"/>
        </w:rPr>
        <w:t xml:space="preserve"> PHB embrittles on storage through secondary crystallisation, and PLA through sub-Tg ageing [43]. Starch properties drift with humidity, and PLA must be dried before melt processing or its molecular weight drops out of control (§4).</w:t>
      </w:r>
    </w:p>
    <w:p>
      <w:pPr>
        <w:pStyle w:val="ListBullet"/>
      </w:pPr>
      <w:r>
        <w:rPr>
          <w:b/>
          <w:i w:val="0"/>
        </w:rPr>
        <w:t>Batch variability.</w:t>
      </w:r>
      <w:r>
        <w:rPr>
          <w:b w:val="0"/>
          <w:i w:val="0"/>
        </w:rPr>
        <w:t xml:space="preserve"> Agricultural sourcing varies in ways petrochemical monomers do not. This covers alginate M and G fractions, chitosan deacetylation, starch amylose content, and NR clone and tree age [19].</w:t>
      </w:r>
    </w:p>
    <w:p>
      <w:pPr>
        <w:pStyle w:val="ListBullet"/>
      </w:pPr>
      <w:r>
        <w:rPr>
          <w:b/>
          <w:i w:val="0"/>
        </w:rPr>
        <w:t>Recycling compatibility.</w:t>
      </w:r>
      <w:r>
        <w:rPr>
          <w:b w:val="0"/>
          <w:i w:val="0"/>
        </w:rPr>
        <w:t xml:space="preserve"> A 2022 study found PLA present at only 0 to 0.019% of PET recycling streams, held by near-infrared sorting below the roughly 1% level that measurably affects recycled PET [15]. This is a dependence on sorting infrastructure, not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they compete in the same applications, such as tyre tread, damping and belting. This makes it the cleanest same-application comparison in the review, because the differences trace to backbone chemistry rather than to processing. Fig. 7 shows where the difference starts at the chain scale (strain-induced crystallisation). Table 5 scores both materials across five dimensions [10,18–32].</w:t>
      </w:r>
    </w:p>
    <w:p>
      <w:pPr>
        <w:keepNext/>
        <w:spacing w:after="40"/>
        <w:jc w:val="center"/>
      </w:pPr>
      <w:r>
        <w:drawing>
          <wp:inline xmlns:a="http://schemas.openxmlformats.org/drawingml/2006/main" xmlns:pic="http://schemas.openxmlformats.org/drawingml/2006/picture">
            <wp:extent cx="3644589" cy="1371600"/>
            <wp:docPr id="7" name="Picture 7"/>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3644589" cy="1371600"/>
                    </a:xfrm>
                    <a:prstGeom prst="rect"/>
                  </pic:spPr>
                </pic:pic>
              </a:graphicData>
            </a:graphic>
          </wp:inline>
        </w:drawing>
      </w:r>
    </w:p>
    <w:p>
      <w:pPr>
        <w:spacing w:line="240" w:lineRule="auto" w:after="80"/>
        <w:jc w:val="center"/>
      </w:pPr>
      <w:r>
        <w:rPr>
          <w:i/>
          <w:sz w:val="20"/>
        </w:rPr>
        <w:t>Figure 7. NR and SBR, drawn by the authors. (a) NR (cis-1,4-polyisoprene), (b) SBR 1,4-butadiene unit, (c) SBR styrene unit. (d) At the chain scale, stereoregular NR aligns into crystalline bundles under strain (strain-induced crystallisation, confirmed by X-ray), while SBR's irregular backbone stays amorphous. This is the basis of the "SIC and tear resistance" row of Table 5.</w:t>
      </w:r>
    </w:p>
    <w:p>
      <w:pPr>
        <w:spacing w:line="240" w:lineRule="auto" w:after="40"/>
      </w:pPr>
      <w:r>
        <w:rPr>
          <w:b/>
          <w:i w:val="0"/>
          <w:sz w:val="20"/>
        </w:rPr>
        <w:t>Table 5.</w:t>
      </w:r>
      <w:r>
        <w:rPr>
          <w:b w:val="0"/>
          <w:i w:val="0"/>
          <w:sz w:val="20"/>
        </w:rPr>
        <w:t xml:space="preserve"> NR and SBR: structurally favourable, formulation- or context-dependent,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strain-induced crystallisation gives better tear and crack-growth resistance to start with [10,23]. SBR then reaches comparable wear resistance through reinforcement and cure design [24]. This is the clearest case in the review of backbone chemistry trading off against formulation. The "natural is better" story does not survive the literature. NR latex carries a real allergy risk that SBR does not [27,28]. Being renewable does not automatically mean a lower life-cycle footprint [29,30]. And NR pricing has been the more volatile of the two, for climate and disease reasons that have nothing to do with polymer chemistry [32].</w:t>
      </w:r>
    </w:p>
    <w:p>
      <w:pPr>
        <w:pStyle w:val="Heading1"/>
      </w:pPr>
      <w:r>
        <w:t>7. Applications</w:t>
      </w:r>
    </w:p>
    <w:p>
      <w:pPr>
        <w:jc w:val="both"/>
      </w:pPr>
      <w:r>
        <w:rPr>
          <w:b w:val="0"/>
          <w:i w:val="0"/>
        </w:rPr>
        <w:t>Table 4 lists each application by the property it needs, then the material that meets it (§3 gave the per-material uses). Two patterns stand out. Packaging needs an O₂ and H₂O barrier, toughness and heat resistance above PLA's heat deflection temperature all at once (§6.2). No single biopolymer gives all three (§5.3), so packaging is almost always multilayer or blended. Biomedical use is the one area where biopolymers are close to unique, because they combine biocompatibility with a degradation rate that can be tuned (§5.4). PGA and PLGA sutures fail mainly through a local drop in pH from their acidic hydrolysis products [52,53], and collagen, alginate and chitosan carry the same logic over to scaffolds and bioprinting [55].</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of these lowers the other two. The NR and SBR case study (§6.3) reaches the same trade-off through formulation alone. Third, a molecular-weight figure means little without the method used to measure it (§4). The features that make molecular weight hard to measure are the same ones that explain performance.</w:t>
      </w:r>
    </w:p>
    <w:p>
      <w:pPr>
        <w:jc w:val="both"/>
      </w:pPr>
      <w:r>
        <w:rPr>
          <w:b w:val="0"/>
          <w:i w:val="0"/>
        </w:rPr>
        <w:t>Bio-based plastics were about 2.31 Mt of capacity in 2025, under 1% of all plastics [16]. Scaling up will not by itself fix the processing window, the humidity sensitivity or the batch variability; the nearer-term routes to those are enzymatic depolymerisation back to monomer [17] and ⚙️ data-driven property prediction [56].</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