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treats polymers made by chemically polymerising biomass-derived monomers — chiefly poly(lactic acid) (PLA) — as part of the same picture, since their properties are best understood alongside the true biopolymers rather than in isolation.</w:t>
      </w:r>
    </w:p>
    <w:p>
      <w:pPr>
        <w:jc w:val="both"/>
      </w:pPr>
      <w:r>
        <w:rPr>
          <w:b w:val="0"/>
          <w:i w:val="0"/>
        </w:rPr>
        <w:t>Three structural features set these chains apart from synthetic polymers. Template-directed biosynthesis fixes chain length and sequence, so proteins and nucleic acids come out strictly monodisperse (Đ = 1.00). Biological monomer pools are enantiomerically pure, so the resulting chains are stereoregular by default. And hydroxyl, amide or carbonyl groups sit on almost every repeat unit, pushing cohesive energy densities well above the polyolefins'. The properties and limitations examined in this report follow directly from these three features: high stiffness and crystallinity, but also brittleness, water sensitivity, and decomposition that arrives close to or even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912779" cy="219456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2912779" cy="219456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biopolymer families along one organising axis: backbone flexibility and the intermolecular forces it permits. Cellulose sits at one extreme — an extended, hydrogen-bonded backbone locked into a crystalline solid that never melts. Natural rubber sits at the other: a freely rotating backbone that stays amorphous until strain forces it to crystallise. Between them lie three groups — polysaccharides with weaker or ionically tunable interchain forces (starch, chitin/chitosan, alginate); semicrystalline polyesters flexible enough to melt-process, but only within narrow thermal windows (PHA, PLA); and template-folded proteins, whose properties come from defined secondary/tertiary structure rather than simple chain packing. Lignin closes the section as the structural counterpoint to all of them — an irregularly cross-linked network with no periodic chain at all. The claim tested throughout is that backbone chemistry, not biological origin, predicts melting behaviour, hydrolytic/enzymatic susceptibility, and mechanical performance (Table 2). Fig. 2 summarises the force → consequence → limitation causal chain for every family at a glance, so the text below only adds mechanism and citations the figure can't carry. Each family's monomer and chain-scale structure is drawn directly in its own subsection (§3.1–§3.5).</w:t>
      </w:r>
    </w:p>
    <w:p>
      <w:pPr>
        <w:keepNext/>
        <w:spacing w:after="40"/>
        <w:jc w:val="center"/>
      </w:pPr>
      <w:r>
        <w:drawing>
          <wp:inline xmlns:a="http://schemas.openxmlformats.org/drawingml/2006/main" xmlns:pic="http://schemas.openxmlformats.org/drawingml/2006/picture">
            <wp:extent cx="2903182" cy="2194560"/>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903182" cy="2194560"/>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here (polysaccharides and polyesters are each split into two, since their two members behave distinctly). Colour follows the backbone-chemistry class; the arrows read left to right as one causal chain per family.</w:t>
      </w:r>
    </w:p>
    <w:p>
      <w:pPr>
        <w:pStyle w:val="Heading2"/>
      </w:pPr>
      <w:r>
        <w:t>3.1 Polysaccharides</w:t>
      </w:r>
    </w:p>
    <w:p>
      <w:pPr>
        <w:keepNext/>
        <w:spacing w:after="40"/>
        <w:jc w:val="center"/>
      </w:pPr>
      <w:r>
        <w:drawing>
          <wp:inline xmlns:a="http://schemas.openxmlformats.org/drawingml/2006/main" xmlns:pic="http://schemas.openxmlformats.org/drawingml/2006/picture">
            <wp:extent cx="5943600" cy="1188720"/>
            <wp:docPr id="3" name="Picture 3"/>
            <wp:cNvGraphicFramePr>
              <a:graphicFrameLocks noChangeAspect="1"/>
            </wp:cNvGraphicFramePr>
            <a:graphic>
              <a:graphicData uri="http://schemas.openxmlformats.org/drawingml/2006/picture">
                <pic:pic>
                  <pic:nvPicPr>
                    <pic:cNvPr id="0" name="fig_polysaccharide_monomers.png"/>
                    <pic:cNvPicPr/>
                  </pic:nvPicPr>
                  <pic:blipFill>
                    <a:blip r:embed="rId11"/>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3. Polysaccharide repeat units drawn by the authors with RDKit from verified SMILES: (a) cellulose (β-1,4-D-glucan), (b) amylose (α-1,4-D-glucan), (c) chitosan (2-amino-2-deoxy-D-glucan), (d) alginate M (β-D-mannuronate), (e) alginate G (α-L-guluronate). (a) and (b) differ only in the configuration at C1 — the single centre that separates cellulose's extended, 60–70% crystalline ribbon from amylose's water-plasticised helix; (d) and (e) differ only at C5, and the M/G ratio sets alginate's stiffness–brittleness trade-off (§8). Alginate G's absolute configuration is verified only as the C5 epimer of M — cross-check against a literature structure before submission.</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processing is restricted to solution routes (NMMO/Lyocell, LiCl/DMAc), and nanocrystals/nanofibrils exploit its crystal modulus as fillers [2].</w:t>
      </w:r>
    </w:p>
    <w:p>
      <w:pPr>
        <w:keepNext/>
        <w:spacing w:after="40"/>
        <w:jc w:val="center"/>
      </w:pPr>
      <w:r>
        <w:drawing>
          <wp:inline xmlns:a="http://schemas.openxmlformats.org/drawingml/2006/main" xmlns:pic="http://schemas.openxmlformats.org/drawingml/2006/picture">
            <wp:extent cx="4474342" cy="173736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4474342" cy="1737360"/>
                    </a:xfrm>
                    <a:prstGeom prst="rect"/>
                  </pic:spPr>
                </pic:pic>
              </a:graphicData>
            </a:graphic>
          </wp:inline>
        </w:drawing>
      </w:r>
    </w:p>
    <w:p>
      <w:pPr>
        <w:spacing w:line="240" w:lineRule="auto" w:after="80"/>
        <w:jc w:val="center"/>
      </w:pPr>
      <w:r>
        <w:rPr>
          <w:i/>
          <w:sz w:val="20"/>
        </w:rPr>
        <w:t>Figure 4. Cellulose's three-tier structure, drawn by the authors: (a) the intrachain O3–H···O5′ hydrogen bond that locks the ribbon conformation, (b) interchain hydrogen bonding within a sheet, (c) van der Waals / CH···O stacking of sheets into the Iα (triclinic) / Iβ (monoclinic) crystal. Cohesive energy accumulated over (a)–(c) exceeds the strength of the glycosidic backbone, so cellulose decomposes near 300 °C before any melting transition and dissolves only in solvents that break the hydrogen-bond network.</w:t>
      </w:r>
    </w:p>
    <w:p>
      <w:pPr>
        <w:jc w:val="both"/>
      </w:pPr>
      <w:r>
        <w:rPr>
          <w:b/>
          <w:i w:val="0"/>
        </w:rPr>
        <w:t>Starch's</w:t>
      </w:r>
      <w:r>
        <w:rPr>
          <w:b w:val="0"/>
          <w:i w:val="0"/>
        </w:rPr>
        <w:t xml:space="preserve"> amylose/amylopectin topology (not chemistry) explains its weaker, humidity-reversible crystallinity (TPS blends with PLA/PBAT). </w:t>
      </w:r>
      <w:r>
        <w:rPr>
          <w:b/>
          <w:i w:val="0"/>
        </w:rPr>
        <w:t>Chitosan's</w:t>
      </w:r>
      <w:r>
        <w:rPr>
          <w:b w:val="0"/>
          <w:i w:val="0"/>
        </w:rPr>
        <w:t xml:space="preserve"> degree of deacetylation (DD) sets solubility and antimicrobial activity,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keepNext/>
        <w:spacing w:after="40"/>
        <w:jc w:val="center"/>
      </w:pPr>
      <w:r>
        <w:drawing>
          <wp:inline xmlns:a="http://schemas.openxmlformats.org/drawingml/2006/main" xmlns:pic="http://schemas.openxmlformats.org/drawingml/2006/picture">
            <wp:extent cx="5680374" cy="1737360"/>
            <wp:docPr id="5" name="Picture 5"/>
            <wp:cNvGraphicFramePr>
              <a:graphicFrameLocks noChangeAspect="1"/>
            </wp:cNvGraphicFramePr>
            <a:graphic>
              <a:graphicData uri="http://schemas.openxmlformats.org/drawingml/2006/picture">
                <pic:pic>
                  <pic:nvPicPr>
                    <pic:cNvPr id="0" name="fig_polysaccharide_chains.png"/>
                    <pic:cNvPicPr/>
                  </pic:nvPicPr>
                  <pic:blipFill>
                    <a:blip r:embed="rId13"/>
                    <a:stretch>
                      <a:fillRect/>
                    </a:stretch>
                  </pic:blipFill>
                  <pic:spPr>
                    <a:xfrm>
                      <a:off x="0" y="0"/>
                      <a:ext cx="5680374" cy="1737360"/>
                    </a:xfrm>
                    <a:prstGeom prst="rect"/>
                  </pic:spPr>
                </pic:pic>
              </a:graphicData>
            </a:graphic>
          </wp:inline>
        </w:drawing>
      </w:r>
    </w:p>
    <w:p>
      <w:pPr>
        <w:spacing w:line="240" w:lineRule="auto" w:after="80"/>
        <w:jc w:val="center"/>
      </w:pPr>
      <w:r>
        <w:rPr>
          <w:i/>
          <w:sz w:val="20"/>
        </w:rPr>
        <w:t>Figure 5. Polysaccharide chain-scale structure, drawn by the authors: (a) amylose's left-handed helix (contrast cellulose's extended ribbon in Fig. 4; I₂ and water enter the cavity and plasticise the chain), (b) alginate's Ca²⁺-bridged "egg-box" G-block junction — ionic and reversible with a chelator, G-content setting junction density and hence stiffness vs. brittleness, (c) chitosan's irregular deacetylation breaking the regular hydrogen-bond register cellulose relies on, so solubility rises but crystallinity falls. Cellulose's own chain-scale structure is in Fig. 4.</w:t>
      </w:r>
    </w:p>
    <w:p>
      <w:pPr>
        <w:pStyle w:val="Heading2"/>
      </w:pPr>
      <w:r>
        <w:t>3.2 Polyesters: PHA and PLA</w:t>
      </w:r>
    </w:p>
    <w:p>
      <w:pPr>
        <w:keepNext/>
        <w:spacing w:after="40"/>
        <w:jc w:val="center"/>
      </w:pPr>
      <w:r>
        <w:drawing>
          <wp:inline xmlns:a="http://schemas.openxmlformats.org/drawingml/2006/main" xmlns:pic="http://schemas.openxmlformats.org/drawingml/2006/picture">
            <wp:extent cx="5680374" cy="1737360"/>
            <wp:docPr id="6" name="Picture 6"/>
            <wp:cNvGraphicFramePr>
              <a:graphicFrameLocks noChangeAspect="1"/>
            </wp:cNvGraphicFramePr>
            <a:graphic>
              <a:graphicData uri="http://schemas.openxmlformats.org/drawingml/2006/picture">
                <pic:pic>
                  <pic:nvPicPr>
                    <pic:cNvPr id="0" name="fig_polyester_structures.png"/>
                    <pic:cNvPicPr/>
                  </pic:nvPicPr>
                  <pic:blipFill>
                    <a:blip r:embed="rId14"/>
                    <a:stretch>
                      <a:fillRect/>
                    </a:stretch>
                  </pic:blipFill>
                  <pic:spPr>
                    <a:xfrm>
                      <a:off x="0" y="0"/>
                      <a:ext cx="5680374" cy="1737360"/>
                    </a:xfrm>
                    <a:prstGeom prst="rect"/>
                  </pic:spPr>
                </pic:pic>
              </a:graphicData>
            </a:graphic>
          </wp:inline>
        </w:drawing>
      </w:r>
    </w:p>
    <w:p>
      <w:pPr>
        <w:spacing w:line="240" w:lineRule="auto" w:after="80"/>
        <w:jc w:val="center"/>
      </w:pPr>
      <w:r>
        <w:rPr>
          <w:i/>
          <w:sz w:val="20"/>
        </w:rPr>
        <w:t>Figure 6. Polyester structure: (a) PHB and (b) PLLA repeat units (drawn by the authors with RDKit from verified SMILES; (R)/(S) marked because the chiral centre is not adjacent to a chain end), and (c) PHA/PLA helical packing (PHB 2₁, PLLA 10₃ helices) — a helix that crystallises but still melts, unlike cellulose's hydrogen-bonded ribbon, which decomposes first.</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(Sn(Oct)₂) reaches useful MW where direct polycondensation cannot; PLLA crystallises slowly, but the PLLA/PDLA stereocomplex co-crystallises with Tm ~50 °C above either homocrystal via tighter enantiomeric packing [6,7]. PBS/PEF follow the same ester logic (§8).</w:t>
      </w:r>
    </w:p>
    <w:p>
      <w:pPr>
        <w:pStyle w:val="Heading2"/>
      </w:pPr>
      <w:r>
        <w:t>3.3 Protein-based Polymers</w:t>
      </w:r>
    </w:p>
    <w:p>
      <w:pPr>
        <w:keepNext/>
        <w:spacing w:after="40"/>
        <w:jc w:val="center"/>
      </w:pPr>
      <w:r>
        <w:drawing>
          <wp:inline xmlns:a="http://schemas.openxmlformats.org/drawingml/2006/main" xmlns:pic="http://schemas.openxmlformats.org/drawingml/2006/picture">
            <wp:extent cx="5831342" cy="2194560"/>
            <wp:docPr id="7" name="Picture 7"/>
            <wp:cNvGraphicFramePr>
              <a:graphicFrameLocks noChangeAspect="1"/>
            </wp:cNvGraphicFramePr>
            <a:graphic>
              <a:graphicData uri="http://schemas.openxmlformats.org/drawingml/2006/picture">
                <pic:pic>
                  <pic:nvPicPr>
                    <pic:cNvPr id="0" name="fig_protein_structures.png"/>
                    <pic:cNvPicPr/>
                  </pic:nvPicPr>
                  <pic:blipFill>
                    <a:blip r:embed="rId15"/>
                    <a:stretch>
                      <a:fillRect/>
                    </a:stretch>
                  </pic:blipFill>
                  <pic:spPr>
                    <a:xfrm>
                      <a:off x="0" y="0"/>
                      <a:ext cx="5831342" cy="2194560"/>
                    </a:xfrm>
                    <a:prstGeom prst="rect"/>
                  </pic:spPr>
                </pic:pic>
              </a:graphicData>
            </a:graphic>
          </wp:inline>
        </w:drawing>
      </w:r>
    </w:p>
    <w:p>
      <w:pPr>
        <w:spacing w:line="240" w:lineRule="auto" w:after="80"/>
        <w:jc w:val="center"/>
      </w:pPr>
      <w:r>
        <w:rPr>
          <w:i/>
          <w:sz w:val="20"/>
        </w:rPr>
        <w:t>Figure 7. Protein structure, drawn by the authors: (a) silk fibroin's (Gly-Ala)ₙ and (b) collagen's Gly-Pro-Hyp backbone repeat units (RDKit); (c) silk's antiparallel β-sheet nanocrystallites (2–4 nm, hydrogen-bonded, dispersed in a compliant amorphous matrix — the source of silk's combined strength and toughness); (d) collagen's Gly-X-Y triple helix, in which glycine at every third position is the only residue small enough for the crowded core.</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hydroxyproline,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keepNext/>
        <w:spacing w:after="40"/>
        <w:jc w:val="center"/>
      </w:pPr>
      <w:r>
        <w:drawing>
          <wp:inline xmlns:a="http://schemas.openxmlformats.org/drawingml/2006/main" xmlns:pic="http://schemas.openxmlformats.org/drawingml/2006/picture">
            <wp:extent cx="5943600" cy="1188720"/>
            <wp:docPr id="8" name="Picture 8"/>
            <wp:cNvGraphicFramePr>
              <a:graphicFrameLocks noChangeAspect="1"/>
            </wp:cNvGraphicFramePr>
            <a:graphic>
              <a:graphicData uri="http://schemas.openxmlformats.org/drawingml/2006/picture">
                <pic:pic>
                  <pic:nvPicPr>
                    <pic:cNvPr id="0" name="fig_lignin_monomers.png"/>
                    <pic:cNvPicPr/>
                  </pic:nvPicPr>
                  <pic:blipFill>
                    <a:blip r:embed="rId16"/>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8. The three monolignol precursors, drawn by the authors with RDKit: (a) p-coumaryl alcohol (0 methoxy groups), (b) coniferyl alcohol (1), (c) sinapyl alcohol (2). Radical coupling of these gives a randomly cross-linked network with no periodic chain, so only the monomers are drawn.</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which is why no single "lignin" has one structure–property relationship. Lignin has no periodic chain, so only the monomers are drawn here — unlike the other families, an irregularly cross-linked network has no single "typical chain" to picture.</w:t>
      </w:r>
    </w:p>
    <w:p>
      <w:pPr>
        <w:pStyle w:val="Heading2"/>
      </w:pPr>
      <w:r>
        <w:t>3.5 Natural Rubber</w:t>
      </w:r>
    </w:p>
    <w:p>
      <w:pPr>
        <w:keepNext/>
        <w:spacing w:after="40"/>
        <w:jc w:val="center"/>
      </w:pPr>
      <w:r>
        <w:drawing>
          <wp:inline xmlns:a="http://schemas.openxmlformats.org/drawingml/2006/main" xmlns:pic="http://schemas.openxmlformats.org/drawingml/2006/picture">
            <wp:extent cx="5943600" cy="1188720"/>
            <wp:docPr id="9" name="Picture 9"/>
            <wp:cNvGraphicFramePr>
              <a:graphicFrameLocks noChangeAspect="1"/>
            </wp:cNvGraphicFramePr>
            <a:graphic>
              <a:graphicData uri="http://schemas.openxmlformats.org/drawingml/2006/picture">
                <pic:pic>
                  <pic:nvPicPr>
                    <pic:cNvPr id="0" name="fig_rubber_monomer.png"/>
                    <pic:cNvPicPr/>
                  </pic:nvPicPr>
                  <pic:blipFill>
                    <a:blip r:embed="rId17"/>
                    <a:stretch>
                      <a:fillRect/>
                    </a:stretch>
                  </pic:blipFill>
                  <pic:spPr>
                    <a:xfrm>
                      <a:off x="0" y="0"/>
                      <a:ext cx="5943600" cy="1188720"/>
                    </a:xfrm>
                    <a:prstGeom prst="rect"/>
                  </pic:spPr>
                </pic:pic>
              </a:graphicData>
            </a:graphic>
          </wp:inline>
        </w:drawing>
      </w:r>
    </w:p>
    <w:p>
      <w:pPr>
        <w:spacing w:line="240" w:lineRule="auto" w:after="80"/>
        <w:jc w:val="center"/>
      </w:pPr>
      <w:r>
        <w:rPr>
          <w:i/>
          <w:sz w:val="20"/>
        </w:rPr>
        <w:t>Figure 9. Natural rubber's repeat unit, cis-1,4-polyisoprene (drawn by the authors with RDKit from verified SMILES). Its chain-scale strain-induced-crystallisation structure appears in the §7.3 case study, Fig. 15.</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a fixed material constant, though: NR's molecular weight and its distribution vary measurably between </w:t>
      </w:r>
      <w:r>
        <w:rPr>
          <w:i/>
        </w:rPr>
        <w:t>Hevea</w:t>
      </w:r>
      <w:r>
        <w:rPr>
          <w:b w:val="0"/>
          <w:i w:val="0"/>
        </w:rPr>
        <w:t xml:space="preserve"> clones and with tree age [19], and non-rubber protein/gel content is an active, clone-dependent contributor to network structure,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and, for PBS, Aliotta et al. [12]; Td is the TGA onset of significant mass loss under N₂; "–" = no melting transition; source data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PHBV (20 mol% HV)</w:t>
            </w:r>
          </w:p>
        </w:tc>
        <w:tc>
          <w:tcPr>
            <w:tcW w:type="dxa" w:w="1017"/>
            <w:tcBorders>
              <w:top w:val="nil"/>
              <w:bottom w:val="nil"/>
            </w:tcBorders>
          </w:tcPr>
          <w:p>
            <w:pPr>
              <w:spacing w:after="10" w:before="10" w:line="240" w:lineRule="auto"/>
            </w:pPr>
            <w:r>
              <w:rPr>
                <w:rFonts w:ascii="Arial" w:hAnsi="Arial"/>
                <w:b w:val="0"/>
                <w:i w:val="0"/>
                <w:sz w:val="16"/>
              </w:rPr>
              <w:t>~0</w:t>
            </w:r>
          </w:p>
        </w:tc>
        <w:tc>
          <w:tcPr>
            <w:tcW w:type="dxa" w:w="1017"/>
            <w:tcBorders>
              <w:top w:val="nil"/>
              <w:bottom w:val="nil"/>
            </w:tcBorders>
          </w:tcPr>
          <w:p>
            <w:pPr>
              <w:spacing w:after="10" w:before="10" w:line="240" w:lineRule="auto"/>
            </w:pPr>
            <w:r>
              <w:rPr>
                <w:rFonts w:ascii="Arial" w:hAnsi="Arial"/>
                <w:b w:val="0"/>
                <w:i w:val="0"/>
                <w:sz w:val="16"/>
              </w:rPr>
              <w:t>~145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0.8–2.5</w:t>
            </w:r>
          </w:p>
        </w:tc>
        <w:tc>
          <w:tcPr>
            <w:tcW w:type="dxa" w:w="1792"/>
            <w:tcBorders>
              <w:top w:val="nil"/>
              <w:bottom w:val="nil"/>
            </w:tcBorders>
          </w:tcPr>
          <w:p>
            <w:pPr>
              <w:spacing w:after="10" w:before="10" w:line="240" w:lineRule="auto"/>
            </w:pPr>
            <w:r>
              <w:rPr>
                <w:rFonts w:ascii="Arial" w:hAnsi="Arial"/>
                <w:b w:val="0"/>
                <w:i w:val="0"/>
                <w:sz w:val="16"/>
              </w:rPr>
              <w:t>5–25</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nil"/>
            </w:tcBorders>
          </w:tcPr>
          <w:p>
            <w:pPr>
              <w:spacing w:after="10" w:before="10" w:line="240" w:lineRule="auto"/>
            </w:pPr>
            <w:r>
              <w:rPr>
                <w:rFonts w:ascii="Arial" w:hAnsi="Arial"/>
                <w:b w:val="0"/>
                <w:i w:val="0"/>
                <w:sz w:val="16"/>
              </w:rPr>
              <w:t>LDPE (fossil reference)</w:t>
            </w:r>
          </w:p>
        </w:tc>
        <w:tc>
          <w:tcPr>
            <w:tcW w:type="dxa" w:w="1017"/>
            <w:tcBorders>
              <w:top w:val="nil"/>
              <w:bottom w:val="nil"/>
            </w:tcBorders>
          </w:tcPr>
          <w:p>
            <w:pPr>
              <w:spacing w:after="10" w:before="10" w:line="240" w:lineRule="auto"/>
            </w:pPr>
            <w:r>
              <w:rPr>
                <w:rFonts w:ascii="Arial" w:hAnsi="Arial"/>
                <w:b w:val="0"/>
                <w:i w:val="0"/>
                <w:sz w:val="16"/>
              </w:rPr>
              <w:t>~−120</w:t>
            </w:r>
          </w:p>
        </w:tc>
        <w:tc>
          <w:tcPr>
            <w:tcW w:type="dxa" w:w="1017"/>
            <w:tcBorders>
              <w:top w:val="nil"/>
              <w:bottom w:val="nil"/>
            </w:tcBorders>
          </w:tcPr>
          <w:p>
            <w:pPr>
              <w:spacing w:after="10" w:before="10" w:line="240" w:lineRule="auto"/>
            </w:pPr>
            <w:r>
              <w:rPr>
                <w:rFonts w:ascii="Arial" w:hAnsi="Arial"/>
                <w:b w:val="0"/>
                <w:i w:val="0"/>
                <w:sz w:val="16"/>
              </w:rPr>
              <w:t>~110</w:t>
            </w:r>
          </w:p>
        </w:tc>
        <w:tc>
          <w:tcPr>
            <w:tcW w:type="dxa" w:w="1151"/>
            <w:tcBorders>
              <w:top w:val="nil"/>
              <w:bottom w:val="nil"/>
            </w:tcBorders>
          </w:tcPr>
          <w:p>
            <w:pPr>
              <w:spacing w:after="10" w:before="10" w:line="240" w:lineRule="auto"/>
            </w:pPr>
            <w:r>
              <w:rPr>
                <w:rFonts w:ascii="Arial" w:hAnsi="Arial"/>
                <w:b w:val="0"/>
                <w:i w:val="0"/>
                <w:sz w:val="16"/>
              </w:rPr>
              <w:t>~400</w:t>
            </w:r>
          </w:p>
        </w:tc>
        <w:tc>
          <w:tcPr>
            <w:tcW w:type="dxa" w:w="1739"/>
            <w:tcBorders>
              <w:top w:val="nil"/>
              <w:bottom w:val="nil"/>
            </w:tcBorders>
          </w:tcPr>
          <w:p>
            <w:pPr>
              <w:spacing w:after="10" w:before="10" w:line="240" w:lineRule="auto"/>
            </w:pPr>
            <w:r>
              <w:rPr>
                <w:rFonts w:ascii="Arial" w:hAnsi="Arial"/>
                <w:b w:val="0"/>
                <w:i w:val="0"/>
                <w:sz w:val="16"/>
              </w:rPr>
              <w:t>0.15–0.35</w:t>
            </w:r>
          </w:p>
        </w:tc>
        <w:tc>
          <w:tcPr>
            <w:tcW w:type="dxa" w:w="1792"/>
            <w:tcBorders>
              <w:top w:val="nil"/>
              <w:bottom w:val="nil"/>
            </w:tcBorders>
          </w:tcPr>
          <w:p>
            <w:pPr>
              <w:spacing w:after="10" w:before="10" w:line="240" w:lineRule="auto"/>
            </w:pPr>
            <w:r>
              <w:rPr>
                <w:rFonts w:ascii="Arial" w:hAnsi="Arial"/>
                <w:b w:val="0"/>
                <w:i w:val="0"/>
                <w:sz w:val="16"/>
              </w:rPr>
              <w:t>200–600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11/12 and this table internally consistent; each must be replaced with a cited literature value, and matched to a stated test condition (sample form, moisture, thermal history), before submission.</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10):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4548868" cy="2194560"/>
            <wp:docPr id="10" name="Picture 10"/>
            <wp:cNvGraphicFramePr>
              <a:graphicFrameLocks noChangeAspect="1"/>
            </wp:cNvGraphicFramePr>
            <a:graphic>
              <a:graphicData uri="http://schemas.openxmlformats.org/drawingml/2006/picture">
                <pic:pic>
                  <pic:nvPicPr>
                    <pic:cNvPr id="0" name="fig9_dispersity.png"/>
                    <pic:cNvPicPr/>
                  </pic:nvPicPr>
                  <pic:blipFill>
                    <a:blip r:embed="rId18"/>
                    <a:stretch>
                      <a:fillRect/>
                    </a:stretch>
                  </pic:blipFill>
                  <pic:spPr>
                    <a:xfrm>
                      <a:off x="0" y="0"/>
                      <a:ext cx="4548868" cy="2194560"/>
                    </a:xfrm>
                    <a:prstGeom prst="rect"/>
                  </pic:spPr>
                </pic:pic>
              </a:graphicData>
            </a:graphic>
          </wp:inline>
        </w:drawing>
      </w:r>
    </w:p>
    <w:p>
      <w:pPr>
        <w:spacing w:line="240" w:lineRule="auto" w:after="80"/>
        <w:jc w:val="center"/>
      </w:pPr>
      <w:r>
        <w:rPr>
          <w:i/>
          <w:sz w:val="20"/>
        </w:rPr>
        <w:t>Figure 10.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below it, strength and toughness collapse. Above Mc, tensile strength rises with Mn then saturates (Flory-type, σ ≈ σ∞ − K/Mn),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10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Ranges are teaching-level approximations; VERIFY each row against a primary source and replace with cited values before submission.</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11):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(§3.2). Fig. 11 plots the TGA onset conservatively — for PLLA and PHB the usable window is narrower still, since melt hydrolysis (§4) begins earlier.</w:t>
      </w:r>
    </w:p>
    <w:p>
      <w:pPr>
        <w:keepNext/>
        <w:spacing w:after="40"/>
        <w:jc w:val="center"/>
      </w:pPr>
      <w:r>
        <w:drawing>
          <wp:inline xmlns:a="http://schemas.openxmlformats.org/drawingml/2006/main" xmlns:pic="http://schemas.openxmlformats.org/drawingml/2006/picture">
            <wp:extent cx="4783473" cy="2194560"/>
            <wp:docPr id="11" name="Picture 11"/>
            <wp:cNvGraphicFramePr>
              <a:graphicFrameLocks noChangeAspect="1"/>
            </wp:cNvGraphicFramePr>
            <a:graphic>
              <a:graphicData uri="http://schemas.openxmlformats.org/drawingml/2006/picture">
                <pic:pic>
                  <pic:nvPicPr>
                    <pic:cNvPr id="0" name="fig4_thermal_windows.png"/>
                    <pic:cNvPicPr/>
                  </pic:nvPicPr>
                  <pic:blipFill>
                    <a:blip r:embed="rId19"/>
                    <a:stretch>
                      <a:fillRect/>
                    </a:stretch>
                  </pic:blipFill>
                  <pic:spPr>
                    <a:xfrm>
                      <a:off x="0" y="0"/>
                      <a:ext cx="4783473" cy="2194560"/>
                    </a:xfrm>
                    <a:prstGeom prst="rect"/>
                  </pic:spPr>
                </pic:pic>
              </a:graphicData>
            </a:graphic>
          </wp:inline>
        </w:drawing>
      </w:r>
    </w:p>
    <w:p>
      <w:pPr>
        <w:spacing w:line="240" w:lineRule="auto" w:after="80"/>
        <w:jc w:val="center"/>
      </w:pPr>
      <w:r>
        <w:rPr>
          <w:i/>
          <w:sz w:val="20"/>
        </w:rPr>
        <w:t>Figure 11.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12): high crystallinity and dense hydrogen bonding raise modulus but remove the flexible segments that let polyolefins draw before breaking, so biopolymers cluster toward high modulus, low elongation relative to PE/PP/PET. Natural rubber is the exception — no modulus at rest, performance generated on demand by SIC (§3.5, §7.3). Fig. 12's windows are regions, not points: sample form, moisture, crystallinity and thermal history each shift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4548868" cy="2194560"/>
            <wp:docPr id="12" name="Picture 12"/>
            <wp:cNvGraphicFramePr>
              <a:graphicFrameLocks noChangeAspect="1"/>
            </wp:cNvGraphicFramePr>
            <a:graphic>
              <a:graphicData uri="http://schemas.openxmlformats.org/drawingml/2006/picture">
                <pic:pic>
                  <pic:nvPicPr>
                    <pic:cNvPr id="0" name="fig5_property_map.png"/>
                    <pic:cNvPicPr/>
                  </pic:nvPicPr>
                  <pic:blipFill>
                    <a:blip r:embed="rId20"/>
                    <a:stretch>
                      <a:fillRect/>
                    </a:stretch>
                  </pic:blipFill>
                  <pic:spPr>
                    <a:xfrm>
                      <a:off x="0" y="0"/>
                      <a:ext cx="4548868" cy="2194560"/>
                    </a:xfrm>
                    <a:prstGeom prst="rect"/>
                  </pic:spPr>
                </pic:pic>
              </a:graphicData>
            </a:graphic>
          </wp:inline>
        </w:drawing>
      </w:r>
    </w:p>
    <w:p>
      <w:pPr>
        <w:spacing w:line="240" w:lineRule="auto" w:after="80"/>
        <w:jc w:val="center"/>
      </w:pPr>
      <w:r>
        <w:rPr>
          <w:i/>
          <w:sz w:val="20"/>
        </w:rPr>
        <w:t>Figure 12.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 13). Polyesters degrade by autocatalytic ester hydrolysis (each scission's acid end catalyses further hydrolysis, so interiors degrade faster than surfaces; Fig. 13a); polysaccharides and proteins instead degrade by enzymatic attack, which can only reach amorphous segments, so rate is set by accessible surface area, not bulk chemistry (Fig. 13b). Crystallinity therefore recurs as this report's central trade-off — the same feature that sets modulus (§5.2) and blocks water uptake (§5.3) also blocks the attack that would degrade the material. ⚙️ Computed activation barriers for ester hydrolysis fall in the order base-catalysed &lt; acid-catalysed &lt; neutral, consistent with the observed pH-dependence of polyester degradation rate.</w:t>
      </w:r>
    </w:p>
    <w:p>
      <w:pPr>
        <w:keepNext/>
        <w:spacing w:after="40"/>
        <w:jc w:val="center"/>
      </w:pPr>
      <w:r>
        <w:drawing>
          <wp:inline xmlns:a="http://schemas.openxmlformats.org/drawingml/2006/main" xmlns:pic="http://schemas.openxmlformats.org/drawingml/2006/picture">
            <wp:extent cx="5055837" cy="1188720"/>
            <wp:docPr id="13" name="Picture 13"/>
            <wp:cNvGraphicFramePr>
              <a:graphicFrameLocks noChangeAspect="1"/>
            </wp:cNvGraphicFramePr>
            <a:graphic>
              <a:graphicData uri="http://schemas.openxmlformats.org/drawingml/2006/picture">
                <pic:pic>
                  <pic:nvPicPr>
                    <pic:cNvPr id="0" name="fig_degradation.png"/>
                    <pic:cNvPicPr/>
                  </pic:nvPicPr>
                  <pic:blipFill>
                    <a:blip r:embed="rId21"/>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13. Two degradation routes, drawn by the authors: (a) polyester backbone ester hydrolysis — the carboxylic-acid end group autocatalyses further hydrolysis, so thick parts erode from the inside (bulk erosion); (b) enzymatic attack on polysaccharides and proteins reaches only amorphous regions, so crystallinity sets the rate.</w:t>
      </w:r>
    </w:p>
    <w:p>
      <w:pPr>
        <w:pStyle w:val="Heading1"/>
      </w:pPr>
      <w:r>
        <w:t>6. Processing</w:t>
      </w:r>
    </w:p>
    <w:p>
      <w:pPr>
        <w:jc w:val="both"/>
      </w:pPr>
      <w:r>
        <w:rPr>
          <w:b w:val="0"/>
          <w:i w:val="0"/>
        </w:rPr>
        <w:t>Fig. 14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keepNext/>
        <w:spacing w:after="40"/>
        <w:jc w:val="center"/>
      </w:pPr>
      <w:r>
        <w:drawing>
          <wp:inline xmlns:a="http://schemas.openxmlformats.org/drawingml/2006/main" xmlns:pic="http://schemas.openxmlformats.org/drawingml/2006/picture">
            <wp:extent cx="3730380" cy="2194560"/>
            <wp:docPr id="14" name="Picture 14"/>
            <wp:cNvGraphicFramePr>
              <a:graphicFrameLocks noChangeAspect="1"/>
            </wp:cNvGraphicFramePr>
            <a:graphic>
              <a:graphicData uri="http://schemas.openxmlformats.org/drawingml/2006/picture">
                <pic:pic>
                  <pic:nvPicPr>
                    <pic:cNvPr id="0" name="fig10_processing_routes.png"/>
                    <pic:cNvPicPr/>
                  </pic:nvPicPr>
                  <pic:blipFill>
                    <a:blip r:embed="rId22"/>
                    <a:stretch>
                      <a:fillRect/>
                    </a:stretch>
                  </pic:blipFill>
                  <pic:spPr>
                    <a:xfrm>
                      <a:off x="0" y="0"/>
                      <a:ext cx="3730380" cy="2194560"/>
                    </a:xfrm>
                    <a:prstGeom prst="rect"/>
                  </pic:spPr>
                </pic:pic>
              </a:graphicData>
            </a:graphic>
          </wp:inline>
        </w:drawing>
      </w:r>
    </w:p>
    <w:p>
      <w:pPr>
        <w:spacing w:line="240" w:lineRule="auto" w:after="80"/>
        <w:jc w:val="center"/>
      </w:pPr>
      <w:r>
        <w:rPr>
          <w:i/>
          <w:sz w:val="20"/>
        </w:rPr>
        <w:t>Figure 14.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is the only one that applies uniformly across all five families. </w:t>
      </w:r>
      <w:r>
        <w:rPr>
          <w:b/>
          <w:i w:val="0"/>
        </w:rPr>
        <w:t>Biodegradability in leakage-prone contexts</w:t>
      </w:r>
      <w:r>
        <w:rPr>
          <w:b w:val="0"/>
          <w:i w:val="0"/>
        </w:rPr>
        <w:t xml:space="preserve"> — mulch film, fishing gear, disposable foodware — turns hydrolytic/enzymatic susceptibility from a processing burden into a desired property, provided the environment actually matches the material (§5.4). </w:t>
      </w:r>
      <w:r>
        <w:rPr>
          <w:b/>
          <w:i w:val="0"/>
        </w:rPr>
        <w:t>Biocompatibility and bioresorbability</w:t>
      </w:r>
      <w:r>
        <w:rPr>
          <w:b w:val="0"/>
          <w:i w:val="0"/>
        </w:rPr>
        <w:t xml:space="preserve"> let PLA/PGA sutures, collagen/alginate hydrogels and chitosan dressings do what commodity synthetics cannot without costly modification — the one application space (§8) where biopolymers are the only viable class, though not unconditionally so (§7.3). And </w:t>
      </w:r>
      <w:r>
        <w:rPr>
          <w:b/>
          <w:i w:val="0"/>
        </w:rPr>
        <w:t>intrinsic functionality beyond mechanics</w:t>
      </w:r>
      <w:r>
        <w:rPr>
          <w:b w:val="0"/>
          <w:i w:val="0"/>
        </w:rPr>
        <w:t xml:space="preserve"> — chirality (PLA stereocomplexation), pH-responsive charge (chitosan), sequence-encoded bioactivity (silk, collagen) — comes free with the biological structure itself.</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PE/PP ~$1–1.5/kg; PLA several times higher; PHA typically priciest. </w:t>
      </w:r>
      <w:r>
        <w:rPr>
          <w:rFonts w:ascii="Consolas" w:hAnsi="Consolas"/>
          <w:i/>
        </w:rPr>
        <w:t>[cite market report]</w:t>
      </w:r>
    </w:p>
    <w:p>
      <w:pPr>
        <w:pStyle w:val="ListBullet"/>
      </w:pPr>
      <w:r>
        <w:rPr>
          <w:b/>
          <w:i w:val="0"/>
        </w:rPr>
        <w:t>Heat/barrier.</w:t>
      </w:r>
      <w:r>
        <w:rPr>
          <w:b w:val="0"/>
          <w:i w:val="0"/>
        </w:rPr>
        <w:t xml:space="preserve"> PLA's HDT (~55–65 °C) sits well below PP's ~100 °C+ without stereocomplexation (§3.2) [13];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15 draws out the chain-scale origin of that difference (SIC); Table 5 then scores both across seven dimensions, with citation numbers for every row, expanded in the References [10,18–32].</w:t>
      </w:r>
    </w:p>
    <w:p>
      <w:pPr>
        <w:keepNext/>
        <w:spacing w:after="40"/>
        <w:jc w:val="center"/>
      </w:pPr>
      <w:r>
        <w:drawing>
          <wp:inline xmlns:a="http://schemas.openxmlformats.org/drawingml/2006/main" xmlns:pic="http://schemas.openxmlformats.org/drawingml/2006/picture">
            <wp:extent cx="5831342" cy="2194560"/>
            <wp:docPr id="15" name="Picture 15"/>
            <wp:cNvGraphicFramePr>
              <a:graphicFrameLocks noChangeAspect="1"/>
            </wp:cNvGraphicFramePr>
            <a:graphic>
              <a:graphicData uri="http://schemas.openxmlformats.org/drawingml/2006/picture">
                <pic:pic>
                  <pic:nvPicPr>
                    <pic:cNvPr id="0" name="fig8_nr_sbr_comparison.png"/>
                    <pic:cNvPicPr/>
                  </pic:nvPicPr>
                  <pic:blipFill>
                    <a:blip r:embed="rId23"/>
                    <a:stretch>
                      <a:fillRect/>
                    </a:stretch>
                  </pic:blipFill>
                  <pic:spPr>
                    <a:xfrm>
                      <a:off x="0" y="0"/>
                      <a:ext cx="5831342" cy="2194560"/>
                    </a:xfrm>
                    <a:prstGeom prst="rect"/>
                  </pic:spPr>
                </pic:pic>
              </a:graphicData>
            </a:graphic>
          </wp:inline>
        </w:drawing>
      </w:r>
    </w:p>
    <w:p>
      <w:pPr>
        <w:spacing w:line="240" w:lineRule="auto" w:after="80"/>
        <w:jc w:val="center"/>
      </w:pPr>
      <w:r>
        <w:rPr>
          <w:i/>
          <w:sz w:val="20"/>
        </w:rPr>
        <w:t>Figure 15. NR and SBR structure, drawn by the authors: (a) NR (cis-1,4-polyisoprene), (b) SBR's 1,4-butadiene unit, (c) SBR's styrene unit (RDKit, verified SMILES); (d) at chain scale, stereoregular NR aligns into crystalline bundles under strain (SIC, X-ray confirmed) while SBR's irregular backbone stays amorphous even when stretched — the structural basis of the "SIC &amp; tear resistance" row of Table 5.</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75"/>
        <w:gridCol w:w="3230"/>
        <w:gridCol w:w="3222"/>
      </w:tblGrid>
      <w:tr>
        <w:tc>
          <w:tcPr>
            <w:tcW w:type="dxa" w:w="2476"/>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230"/>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22"/>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76"/>
            <w:tcBorders>
              <w:top w:val="nil"/>
              <w:bottom w:val="nil"/>
            </w:tcBorders>
          </w:tcPr>
          <w:p>
            <w:pPr>
              <w:spacing w:after="10" w:before="10" w:line="240" w:lineRule="auto"/>
            </w:pPr>
            <w:r>
              <w:rPr>
                <w:rFonts w:ascii="Arial" w:hAnsi="Arial"/>
                <w:b w:val="0"/>
                <w:i w:val="0"/>
                <w:sz w:val="16"/>
              </w:rPr>
              <w:t>Structure / MW control</w:t>
            </w:r>
          </w:p>
        </w:tc>
        <w:tc>
          <w:tcPr>
            <w:tcW w:type="dxa" w:w="3230"/>
            <w:tcBorders>
              <w:top w:val="nil"/>
              <w:bottom w:val="nil"/>
            </w:tcBorders>
          </w:tcPr>
          <w:p>
            <w:pPr>
              <w:spacing w:after="10" w:before="10" w:line="240" w:lineRule="auto"/>
            </w:pPr>
            <w:r>
              <w:rPr>
                <w:rFonts w:ascii="Arial" w:hAnsi="Arial"/>
                <w:b w:val="0"/>
                <w:i w:val="0"/>
                <w:sz w:val="16"/>
              </w:rPr>
              <w:t>Context-dependent: extracted; varies by clone &amp; tree age [19]</w:t>
            </w:r>
          </w:p>
        </w:tc>
        <w:tc>
          <w:tcPr>
            <w:tcW w:type="dxa" w:w="3222"/>
            <w:tcBorders>
              <w:top w:val="nil"/>
              <w:bottom w:val="nil"/>
            </w:tcBorders>
          </w:tcPr>
          <w:p>
            <w:pPr>
              <w:spacing w:after="10" w:before="10" w:line="240" w:lineRule="auto"/>
            </w:pPr>
            <w:r>
              <w:rPr>
                <w:rFonts w:ascii="Arial" w:hAnsi="Arial"/>
                <w:b w:val="0"/>
                <w:i w:val="0"/>
                <w:sz w:val="16"/>
              </w:rPr>
              <w:t>Favourable: engineered via emulsion/solution copolymerisation [20,21]</w:t>
            </w:r>
          </w:p>
        </w:tc>
      </w:tr>
      <w:tr>
        <w:tc>
          <w:tcPr>
            <w:tcW w:type="dxa" w:w="2476"/>
            <w:tcBorders>
              <w:top w:val="nil"/>
              <w:bottom w:val="nil"/>
            </w:tcBorders>
          </w:tcPr>
          <w:p>
            <w:pPr>
              <w:spacing w:after="10" w:before="10" w:line="240" w:lineRule="auto"/>
            </w:pPr>
            <w:r>
              <w:rPr>
                <w:rFonts w:ascii="Arial" w:hAnsi="Arial"/>
                <w:b w:val="0"/>
                <w:i w:val="0"/>
                <w:sz w:val="16"/>
              </w:rPr>
              <w:t>SIC &amp; tear resistance</w:t>
            </w:r>
          </w:p>
        </w:tc>
        <w:tc>
          <w:tcPr>
            <w:tcW w:type="dxa" w:w="3230"/>
            <w:tcBorders>
              <w:top w:val="nil"/>
              <w:bottom w:val="nil"/>
            </w:tcBorders>
          </w:tcPr>
          <w:p>
            <w:pPr>
              <w:spacing w:after="10" w:before="10" w:line="240" w:lineRule="auto"/>
            </w:pPr>
            <w:r>
              <w:rPr>
                <w:rFonts w:ascii="Arial" w:hAnsi="Arial"/>
                <w:b w:val="0"/>
                <w:i w:val="0"/>
                <w:sz w:val="16"/>
              </w:rPr>
              <w:t>Favourable: strong strain-induced crystallisation [10,23]</w:t>
            </w:r>
          </w:p>
        </w:tc>
        <w:tc>
          <w:tcPr>
            <w:tcW w:type="dxa" w:w="3222"/>
            <w:tcBorders>
              <w:top w:val="nil"/>
              <w:bottom w:val="nil"/>
            </w:tcBorders>
          </w:tcPr>
          <w:p>
            <w:pPr>
              <w:spacing w:after="10" w:before="10" w:line="240" w:lineRule="auto"/>
            </w:pPr>
            <w:r>
              <w:rPr>
                <w:rFonts w:ascii="Arial" w:hAnsi="Arial"/>
                <w:b w:val="0"/>
                <w:i w:val="0"/>
                <w:sz w:val="16"/>
              </w:rPr>
              <w:t>Context-dependent: crystallises far less; relies on filler/cure [24]</w:t>
            </w:r>
          </w:p>
        </w:tc>
      </w:tr>
      <w:tr>
        <w:tc>
          <w:tcPr>
            <w:tcW w:type="dxa" w:w="2476"/>
            <w:tcBorders>
              <w:top w:val="nil"/>
              <w:bottom w:val="nil"/>
            </w:tcBorders>
          </w:tcPr>
          <w:p>
            <w:pPr>
              <w:spacing w:after="10" w:before="10" w:line="240" w:lineRule="auto"/>
            </w:pPr>
            <w:r>
              <w:rPr>
                <w:rFonts w:ascii="Arial" w:hAnsi="Arial"/>
                <w:b w:val="0"/>
                <w:i w:val="0"/>
                <w:sz w:val="16"/>
              </w:rPr>
              <w:t>Blend performance</w:t>
            </w:r>
          </w:p>
        </w:tc>
        <w:tc>
          <w:tcPr>
            <w:tcW w:type="dxa" w:w="3230"/>
            <w:tcBorders>
              <w:top w:val="nil"/>
              <w:bottom w:val="nil"/>
            </w:tcBorders>
          </w:tcPr>
          <w:p>
            <w:pPr>
              <w:spacing w:after="10" w:before="10" w:line="240" w:lineRule="auto"/>
            </w:pPr>
            <w:r>
              <w:rPr>
                <w:rFonts w:ascii="Arial" w:hAnsi="Arial"/>
                <w:b w:val="0"/>
                <w:i w:val="0"/>
                <w:sz w:val="16"/>
              </w:rPr>
              <w:t>Context-dependent: SIC weakens as SBR fraction rises [22]</w:t>
            </w:r>
          </w:p>
        </w:tc>
        <w:tc>
          <w:tcPr>
            <w:tcW w:type="dxa" w:w="3222"/>
            <w:tcBorders>
              <w:top w:val="nil"/>
              <w:bottom w:val="nil"/>
            </w:tcBorders>
          </w:tcPr>
          <w:p>
            <w:pPr>
              <w:spacing w:after="10" w:before="10" w:line="240" w:lineRule="auto"/>
            </w:pPr>
            <w:r>
              <w:rPr>
                <w:rFonts w:ascii="Arial" w:hAnsi="Arial"/>
                <w:b w:val="0"/>
                <w:i w:val="0"/>
                <w:sz w:val="16"/>
              </w:rPr>
              <w:t>Context-dependent: reaches parity via reinforcement, not backbone [24]</w:t>
            </w:r>
          </w:p>
        </w:tc>
      </w:tr>
      <w:tr>
        <w:tc>
          <w:tcPr>
            <w:tcW w:type="dxa" w:w="2476"/>
            <w:tcBorders>
              <w:top w:val="nil"/>
              <w:bottom w:val="nil"/>
            </w:tcBorders>
          </w:tcPr>
          <w:p>
            <w:pPr>
              <w:spacing w:after="10" w:before="10" w:line="240" w:lineRule="auto"/>
            </w:pPr>
            <w:r>
              <w:rPr>
                <w:rFonts w:ascii="Arial" w:hAnsi="Arial"/>
                <w:b w:val="0"/>
                <w:i w:val="0"/>
                <w:sz w:val="16"/>
              </w:rPr>
              <w:t>Tg / cure network</w:t>
            </w:r>
          </w:p>
        </w:tc>
        <w:tc>
          <w:tcPr>
            <w:tcW w:type="dxa" w:w="3230"/>
            <w:tcBorders>
              <w:top w:val="nil"/>
              <w:bottom w:val="nil"/>
            </w:tcBorders>
          </w:tcPr>
          <w:p>
            <w:pPr>
              <w:spacing w:after="10" w:before="10" w:line="240" w:lineRule="auto"/>
            </w:pPr>
            <w:r>
              <w:rPr>
                <w:rFonts w:ascii="Arial" w:hAnsi="Arial"/>
                <w:b w:val="0"/>
                <w:i w:val="0"/>
                <w:sz w:val="16"/>
              </w:rPr>
              <w:t>Context-dependent: depends on formulation &amp; cure conditions [25,26]</w:t>
            </w:r>
          </w:p>
        </w:tc>
        <w:tc>
          <w:tcPr>
            <w:tcW w:type="dxa" w:w="3222"/>
            <w:tcBorders>
              <w:top w:val="nil"/>
              <w:bottom w:val="nil"/>
            </w:tcBorders>
          </w:tcPr>
          <w:p>
            <w:pPr>
              <w:spacing w:after="10" w:before="10" w:line="240" w:lineRule="auto"/>
            </w:pPr>
            <w:r>
              <w:rPr>
                <w:rFonts w:ascii="Arial" w:hAnsi="Arial"/>
                <w:b w:val="0"/>
                <w:i w:val="0"/>
                <w:sz w:val="16"/>
              </w:rPr>
              <w:t>Context-dependent: depends on formulation &amp; cure conditions [25,26]</w:t>
            </w:r>
          </w:p>
        </w:tc>
      </w:tr>
      <w:tr>
        <w:tc>
          <w:tcPr>
            <w:tcW w:type="dxa" w:w="2476"/>
            <w:tcBorders>
              <w:top w:val="nil"/>
              <w:bottom w:val="nil"/>
            </w:tcBorders>
          </w:tcPr>
          <w:p>
            <w:pPr>
              <w:spacing w:after="10" w:before="10" w:line="240" w:lineRule="auto"/>
            </w:pPr>
            <w:r>
              <w:rPr>
                <w:rFonts w:ascii="Arial" w:hAnsi="Arial"/>
                <w:b w:val="0"/>
                <w:i w:val="0"/>
                <w:sz w:val="16"/>
              </w:rPr>
              <w:t>Biocompatibility</w:t>
            </w:r>
          </w:p>
        </w:tc>
        <w:tc>
          <w:tcPr>
            <w:tcW w:type="dxa" w:w="3230"/>
            <w:tcBorders>
              <w:top w:val="nil"/>
              <w:bottom w:val="nil"/>
            </w:tcBorders>
          </w:tcPr>
          <w:p>
            <w:pPr>
              <w:spacing w:after="10" w:before="10" w:line="240" w:lineRule="auto"/>
            </w:pPr>
            <w:r>
              <w:rPr>
                <w:rFonts w:ascii="Arial" w:hAnsi="Arial"/>
                <w:b w:val="0"/>
                <w:i w:val="0"/>
                <w:sz w:val="16"/>
              </w:rPr>
              <w:t>Context-dependent: real potential, but latex protein allergy risk [27,28]</w:t>
            </w:r>
          </w:p>
        </w:tc>
        <w:tc>
          <w:tcPr>
            <w:tcW w:type="dxa" w:w="3222"/>
            <w:tcBorders>
              <w:top w:val="nil"/>
              <w:bottom w:val="nil"/>
            </w:tcBorders>
          </w:tcPr>
          <w:p>
            <w:pPr>
              <w:spacing w:after="10" w:before="10" w:line="240" w:lineRule="auto"/>
            </w:pPr>
            <w:r>
              <w:rPr>
                <w:rFonts w:ascii="Arial" w:hAnsi="Arial"/>
                <w:b w:val="0"/>
                <w:i w:val="0"/>
                <w:sz w:val="16"/>
              </w:rPr>
              <w:t>Risk: no unconditional biocompatibility claim [27,28]</w:t>
            </w:r>
          </w:p>
        </w:tc>
      </w:tr>
      <w:tr>
        <w:tc>
          <w:tcPr>
            <w:tcW w:type="dxa" w:w="2476"/>
            <w:tcBorders>
              <w:top w:val="nil"/>
              <w:bottom w:val="nil"/>
            </w:tcBorders>
          </w:tcPr>
          <w:p>
            <w:pPr>
              <w:spacing w:after="10" w:before="10" w:line="240" w:lineRule="auto"/>
            </w:pPr>
            <w:r>
              <w:rPr>
                <w:rFonts w:ascii="Arial" w:hAnsi="Arial"/>
                <w:b w:val="0"/>
                <w:i w:val="0"/>
                <w:sz w:val="16"/>
              </w:rPr>
              <w:t>Environmental footprint</w:t>
            </w:r>
          </w:p>
        </w:tc>
        <w:tc>
          <w:tcPr>
            <w:tcW w:type="dxa" w:w="3230"/>
            <w:tcBorders>
              <w:top w:val="nil"/>
              <w:bottom w:val="nil"/>
            </w:tcBorders>
          </w:tcPr>
          <w:p>
            <w:pPr>
              <w:spacing w:after="10" w:before="10" w:line="240" w:lineRule="auto"/>
            </w:pPr>
            <w:r>
              <w:rPr>
                <w:rFonts w:ascii="Arial" w:hAnsi="Arial"/>
                <w:b w:val="0"/>
                <w:i w:val="0"/>
                <w:sz w:val="16"/>
              </w:rPr>
              <w:t>Context-dependent: renewable, but LCA shows real land/energy cost [29,30]</w:t>
            </w:r>
          </w:p>
        </w:tc>
        <w:tc>
          <w:tcPr>
            <w:tcW w:type="dxa" w:w="3222"/>
            <w:tcBorders>
              <w:top w:val="nil"/>
              <w:bottom w:val="nil"/>
            </w:tcBorders>
          </w:tcPr>
          <w:p>
            <w:pPr>
              <w:spacing w:after="10" w:before="10" w:line="240" w:lineRule="auto"/>
            </w:pPr>
            <w:r>
              <w:rPr>
                <w:rFonts w:ascii="Arial" w:hAnsi="Arial"/>
                <w:b w:val="0"/>
                <w:i w:val="0"/>
                <w:sz w:val="16"/>
              </w:rPr>
              <w:t>Risk: fossil feedstock; biodegradable grades emerging [31]</w:t>
            </w:r>
          </w:p>
        </w:tc>
      </w:tr>
      <w:tr>
        <w:tc>
          <w:tcPr>
            <w:tcW w:type="dxa" w:w="2476"/>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230"/>
            <w:tcBorders>
              <w:top w:val="nil"/>
              <w:bottom w:val="single" w:sz="8" w:space="0" w:color="000000"/>
            </w:tcBorders>
          </w:tcPr>
          <w:p>
            <w:pPr>
              <w:spacing w:after="10" w:before="10" w:line="240" w:lineRule="auto"/>
            </w:pPr>
            <w:r>
              <w:rPr>
                <w:rFonts w:ascii="Arial" w:hAnsi="Arial"/>
                <w:b w:val="0"/>
                <w:i w:val="0"/>
                <w:sz w:val="16"/>
              </w:rPr>
              <w:t>Risk: historically the more volatile of the two [32]</w:t>
            </w:r>
          </w:p>
        </w:tc>
        <w:tc>
          <w:tcPr>
            <w:tcW w:type="dxa" w:w="3222"/>
            <w:tcBorders>
              <w:top w:val="nil"/>
              <w:bottom w:val="single" w:sz="8" w:space="0" w:color="000000"/>
            </w:tcBorders>
          </w:tcPr>
          <w:p>
            <w:pPr>
              <w:spacing w:after="10" w:before="10" w:line="240" w:lineRule="auto"/>
            </w:pPr>
            <w:r>
              <w:rPr>
                <w:rFonts w:ascii="Arial" w:hAnsi="Arial"/>
                <w:b w:val="0"/>
                <w:i w:val="0"/>
                <w:sz w:val="16"/>
              </w:rPr>
              <w:t>Context-dependent: steadier, but tied to petrochemical supply chain [32]</w:t>
            </w:r>
          </w:p>
        </w:tc>
      </w:tr>
    </w:tbl>
    <w:p>
      <w:pPr>
        <w:spacing w:after="0" w:line="240" w:lineRule="auto"/>
      </w:pP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hydrolysis products; collagen/alginate/chitosan extend the logic to scaffolds and bioprinting. </w:t>
      </w:r>
      <w:r>
        <w:rPr>
          <w:b/>
          <w:i w:val="0"/>
        </w:rPr>
        <w:t>Textiles/other:</w:t>
      </w:r>
      <w:r>
        <w:rPr>
          <w:b w:val="0"/>
          <w:i w:val="0"/>
        </w:rPr>
        <w:t xml:space="preserve"> Lyocell and PLA fibre exploit cellulose's solution-processed stiffness (§3.1, §6)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enzyme cocktails reached ~60% lactic-acid recovery from post-consumer PLA within 72 hours [17]); and ⚙️ data-driven property prediction (QSPR/ML)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*(32 verified; assignment requires 50–60 — see REFERENCES-TODO below)*</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