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This report also treats polymers made by chemically polymerising biomass-derived monomers — chiefly poly(lactic acid) (PLA) — as part of the same picture, since their properties are best understood alongside the true biopolymers rather than in isolation.</w:t>
      </w:r>
    </w:p>
    <w:p>
      <w:pPr>
        <w:jc w:val="both"/>
      </w:pPr>
      <w:r>
        <w:rPr>
          <w:b w:val="0"/>
          <w:i w:val="0"/>
        </w:rPr>
        <w:t>Three structural features set these chains apart from synthetic polymers. Template-directed biosynthesis fixes chain length and sequence, so proteins and nucleic acids come out strictly monodisperse (Đ = 1.00). Biological monomer pools are enantiomerically pure, so the resulting chains are stereoregular by default. And hydroxyl, amide or carbonyl groups sit on almost every repeat unit, pushing cohesive energy densities well above the polyolefins'. The properties and limitations examined in this report follow directly from these three features: high stiffness and crystallinity, but also brittleness, water sensitivity, and decomposition that arrives close to or even below the melting point (§5.4).</w:t>
      </w:r>
    </w:p>
    <w:p>
      <w:pPr>
        <w:pStyle w:val="Heading1"/>
      </w:pPr>
      <w:r>
        <w:t>2. Types of Biopolymers</w:t>
      </w:r>
    </w:p>
    <w:p>
      <w:pPr>
        <w:jc w:val="both"/>
      </w:pPr>
      <w:r>
        <w:rPr>
          <w:b w:val="0"/>
          <w:i w:val="0"/>
        </w:rPr>
        <w:t xml:space="preserve">Biopolymers are often classified first by origin — extracted from biomass, synthesised by micro-organisms, or polymerised from bio-based monomers — but origin predicts behaviour poorly: two materials from the same origin can process and degrade completely differently, while two from different origins can behave alike. The repeating linkage along the backbone is the better predictor, since it determines both melting survival and degradation mechanism, so this review is organised by backbone chemistry instead (Table 1, Fig. 1); origin is retained only as a secondary tag on each material,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2305950" cy="173736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2305950" cy="173736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families along one axis — backbone flexibility and the intermolecular forces it permits — running from cellulose (an extended, hydrogen-bonded backbone that never melts) to natural rubber (a freely rotating backbone, amorphous until strained). Between them lie polysaccharides with weaker or ionically tunable interchain forces, semicrystalline polyesters that melt-process only within narrow thermal windows, and template-folded proteins whose properties come from defined fold, not chain packing; lignin is the counterpoint — an irregular cross-linked network with no periodic chain. The claim tested throughout: backbone chemistry, not biological origin, predicts melting, hydrolytic/enzymatic susceptibility and mechanical performance (Table 2). Fig. 2 carries the force → consequence → limitation chain for each family, so the text below adds only mechanism and citations; each family's monomer and chain-scale structure is drawn in its subsection.</w:t>
      </w:r>
    </w:p>
    <w:p>
      <w:pPr>
        <w:keepNext/>
        <w:spacing w:after="40"/>
        <w:jc w:val="center"/>
      </w:pPr>
      <w:r>
        <w:drawing>
          <wp:inline xmlns:a="http://schemas.openxmlformats.org/drawingml/2006/main" xmlns:pic="http://schemas.openxmlformats.org/drawingml/2006/picture">
            <wp:extent cx="2298352" cy="173735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298352" cy="1737359"/>
                    </a:xfrm>
                    <a:prstGeom prst="rect"/>
                  </pic:spPr>
                </pic:pic>
              </a:graphicData>
            </a:graphic>
          </wp:inline>
        </w:drawing>
      </w:r>
    </w:p>
    <w:p>
      <w:pPr>
        <w:spacing w:line="240" w:lineRule="auto" w:after="80"/>
        <w:jc w:val="center"/>
      </w:pPr>
      <w:r>
        <w:rPr>
          <w:i/>
          <w:sz w:val="20"/>
        </w:rPr>
        <w:t>Figure 2. Structure–property causal chain, one row per family: dominant intermolecular force → key consequence → key limitation. The five backbone classes of Table 1 appear as seven rows here (polysaccharides and polyesters are each split into two, since their two members behave distinctly). Colour follows the backbone-chemistry class; the arrows read left to right as one causal chain per family.</w:t>
      </w:r>
    </w:p>
    <w:p>
      <w:pPr>
        <w:pStyle w:val="Heading2"/>
      </w:pPr>
      <w:r>
        <w:t>3.1 Polysaccharides</w:t>
      </w:r>
    </w:p>
    <w:p>
      <w:pPr>
        <w:keepNext/>
        <w:spacing w:after="40"/>
        <w:jc w:val="center"/>
      </w:pPr>
      <w:r>
        <w:drawing>
          <wp:inline xmlns:a="http://schemas.openxmlformats.org/drawingml/2006/main" xmlns:pic="http://schemas.openxmlformats.org/drawingml/2006/picture">
            <wp:extent cx="5943600" cy="1188720"/>
            <wp:docPr id="3" name="Picture 3"/>
            <wp:cNvGraphicFramePr>
              <a:graphicFrameLocks noChangeAspect="1"/>
            </wp:cNvGraphicFramePr>
            <a:graphic>
              <a:graphicData uri="http://schemas.openxmlformats.org/drawingml/2006/picture">
                <pic:pic>
                  <pic:nvPicPr>
                    <pic:cNvPr id="0" name="fig_polysaccharide_monomers.png"/>
                    <pic:cNvPicPr/>
                  </pic:nvPicPr>
                  <pic:blipFill>
                    <a:blip r:embed="rId11"/>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3. Polysaccharide repeat units drawn by the authors with RDKit from verified SMILES: (a) cellulose (β-1,4-D-glucan), (b) amylose (α-1,4-D-glucan), (c) chitosan (2-amino-2-deoxy-D-glucan), (d) alginate M (β-D-mannuronate), (e) alginate G (α-L-guluronate). (a) and (b) differ only in the configuration at C1 — the single centre that separates cellulose's extended, 60–70% crystalline ribbon from amylose's water-plasticised helix; (d) and (e) differ only at C5, and the M/G ratio sets alginate's stiffness–brittleness trade-off (§8). Alginate G's absolute configuration is verified only as the C5 epimer of M — cross-check against a literature structure before submission.</w:t>
      </w:r>
    </w:p>
    <w:p>
      <w:pPr>
        <w:jc w:val="both"/>
      </w:pPr>
      <w:r>
        <w:rPr>
          <w:b w:val="0"/>
          <w:i w:val="0"/>
        </w:rPr>
        <w:t xml:space="preserve">Polysaccharides span the rigid end of the spectrum. </w:t>
      </w:r>
      <w:r>
        <w:rPr>
          <w:b/>
          <w:i w:val="0"/>
        </w:rPr>
        <w:t>Cellulose</w:t>
      </w:r>
      <w:r>
        <w:rPr>
          <w:b w:val="0"/>
          <w:i w:val="0"/>
        </w:rPr>
        <w:t xml:space="preserve"> — linear β-(1→4)-D-glucopyranose — forms an extended ribbon locked by hydrogen bonding into sheets (Iα, Iβ) [33,34]; processing is restricted to solution routes (NMMO/Lyocell [37], LiCl/DMAc), and nanocrystals/nanofibrils exploit its crystal modulus (~130–150 GPa along the chain axis [35]) as fillers [2].</w:t>
      </w:r>
    </w:p>
    <w:p>
      <w:pPr>
        <w:keepNext/>
        <w:spacing w:after="40"/>
        <w:jc w:val="center"/>
      </w:pPr>
      <w:r>
        <w:drawing>
          <wp:inline xmlns:a="http://schemas.openxmlformats.org/drawingml/2006/main" xmlns:pic="http://schemas.openxmlformats.org/drawingml/2006/picture">
            <wp:extent cx="4474342" cy="1737360"/>
            <wp:docPr id="4" name="Picture 4"/>
            <wp:cNvGraphicFramePr>
              <a:graphicFrameLocks noChangeAspect="1"/>
            </wp:cNvGraphicFramePr>
            <a:graphic>
              <a:graphicData uri="http://schemas.openxmlformats.org/drawingml/2006/picture">
                <pic:pic>
                  <pic:nvPicPr>
                    <pic:cNvPr id="0" name="fig3_cellulose_hierarchy.png"/>
                    <pic:cNvPicPr/>
                  </pic:nvPicPr>
                  <pic:blipFill>
                    <a:blip r:embed="rId12"/>
                    <a:stretch>
                      <a:fillRect/>
                    </a:stretch>
                  </pic:blipFill>
                  <pic:spPr>
                    <a:xfrm>
                      <a:off x="0" y="0"/>
                      <a:ext cx="4474342" cy="1737360"/>
                    </a:xfrm>
                    <a:prstGeom prst="rect"/>
                  </pic:spPr>
                </pic:pic>
              </a:graphicData>
            </a:graphic>
          </wp:inline>
        </w:drawing>
      </w:r>
    </w:p>
    <w:p>
      <w:pPr>
        <w:spacing w:line="240" w:lineRule="auto" w:after="80"/>
        <w:jc w:val="center"/>
      </w:pPr>
      <w:r>
        <w:rPr>
          <w:i/>
          <w:sz w:val="20"/>
        </w:rPr>
        <w:t>Figure 4. Cellulose's three-tier structure, drawn by the authors: (a) the intrachain O3–H···O5′ hydrogen bond that locks the ribbon conformation, (b) interchain hydrogen bonding within a sheet, (c) van der Waals / CH···O stacking of sheets into the Iα (triclinic) / Iβ (monoclinic) crystal. Cohesive energy accumulated over (a)–(c) exceeds the strength of the glycosidic backbone, so cellulose decomposes near 300 °C before any melting transition and dissolves only in solvents that break the hydrogen-bond network.</w:t>
      </w:r>
    </w:p>
    <w:p>
      <w:pPr>
        <w:jc w:val="both"/>
      </w:pPr>
      <w:r>
        <w:rPr>
          <w:b/>
          <w:i w:val="0"/>
        </w:rPr>
        <w:t>Starch's</w:t>
      </w:r>
      <w:r>
        <w:rPr>
          <w:b w:val="0"/>
          <w:i w:val="0"/>
        </w:rPr>
        <w:t xml:space="preserve"> amylose/amylopectin topology (not chemistry) explains its weaker, humidity-reversible crystallinity and its retrogradation on storage [38] (TPS blends with PLA/PBAT). </w:t>
      </w:r>
      <w:r>
        <w:rPr>
          <w:b/>
          <w:i w:val="0"/>
        </w:rPr>
        <w:t>Chitosan's</w:t>
      </w:r>
      <w:r>
        <w:rPr>
          <w:b w:val="0"/>
          <w:i w:val="0"/>
        </w:rPr>
        <w:t xml:space="preserve"> degree of deacetylation (DD) sets solubility, charge and antimicrobial activity [39], but higher-DD chitosan is typically lower-MW since the same alkaline step that raises DD cleaves the backbone [3]. </w:t>
      </w:r>
      <w:r>
        <w:rPr>
          <w:b/>
          <w:i w:val="0"/>
        </w:rPr>
        <w:t>Alginate</w:t>
      </w:r>
      <w:r>
        <w:rPr>
          <w:b w:val="0"/>
          <w:i w:val="0"/>
        </w:rPr>
        <w:t xml:space="preserve"> gels via Ca²⁺-coordinated "egg-box" GG-blocks [4], G-content setting the stiffness–brittleness trade-off (§8). </w:t>
      </w:r>
      <w:r>
        <w:rPr>
          <w:b/>
          <w:i w:val="0"/>
        </w:rPr>
        <w:t>Others</w:t>
      </w:r>
      <w:r>
        <w:rPr>
          <w:b w:val="0"/>
          <w:i w:val="0"/>
        </w:rPr>
        <w:t xml:space="preserve"> — hyaluronic acid, carrageenan, xanthan, pectin — follow the same linkage-chemistry logic (§8).</w:t>
      </w:r>
    </w:p>
    <w:p>
      <w:pPr>
        <w:keepNext/>
        <w:spacing w:after="40"/>
        <w:jc w:val="center"/>
      </w:pPr>
      <w:r>
        <w:drawing>
          <wp:inline xmlns:a="http://schemas.openxmlformats.org/drawingml/2006/main" xmlns:pic="http://schemas.openxmlformats.org/drawingml/2006/picture">
            <wp:extent cx="5680374" cy="1737360"/>
            <wp:docPr id="5" name="Picture 5"/>
            <wp:cNvGraphicFramePr>
              <a:graphicFrameLocks noChangeAspect="1"/>
            </wp:cNvGraphicFramePr>
            <a:graphic>
              <a:graphicData uri="http://schemas.openxmlformats.org/drawingml/2006/picture">
                <pic:pic>
                  <pic:nvPicPr>
                    <pic:cNvPr id="0" name="fig_polysaccharide_chains.png"/>
                    <pic:cNvPicPr/>
                  </pic:nvPicPr>
                  <pic:blipFill>
                    <a:blip r:embed="rId13"/>
                    <a:stretch>
                      <a:fillRect/>
                    </a:stretch>
                  </pic:blipFill>
                  <pic:spPr>
                    <a:xfrm>
                      <a:off x="0" y="0"/>
                      <a:ext cx="5680374" cy="1737360"/>
                    </a:xfrm>
                    <a:prstGeom prst="rect"/>
                  </pic:spPr>
                </pic:pic>
              </a:graphicData>
            </a:graphic>
          </wp:inline>
        </w:drawing>
      </w:r>
    </w:p>
    <w:p>
      <w:pPr>
        <w:spacing w:line="240" w:lineRule="auto" w:after="80"/>
        <w:jc w:val="center"/>
      </w:pPr>
      <w:r>
        <w:rPr>
          <w:i/>
          <w:sz w:val="20"/>
        </w:rPr>
        <w:t>Figure 5. Polysaccharide chain-scale structure, drawn by the authors: (a) amylose's left-handed helix (contrast cellulose's extended ribbon in Fig. 4; I₂ and water enter the cavity and plasticise the chain), (b) alginate's Ca²⁺-bridged "egg-box" G-block junction — ionic and reversible with a chelator, G-content setting junction density and hence stiffness vs. brittleness, (c) chitosan's irregular deacetylation breaking the regular hydrogen-bond register cellulose relies on, so solubility rises but crystallinity falls. Cellulose's own chain-scale structure is in Fig. 4.</w:t>
      </w:r>
    </w:p>
    <w:p>
      <w:pPr>
        <w:pStyle w:val="Heading2"/>
      </w:pPr>
      <w:r>
        <w:t>3.2 Polyesters: PHA and PLA</w:t>
      </w:r>
    </w:p>
    <w:p>
      <w:pPr>
        <w:keepNext/>
        <w:spacing w:after="40"/>
        <w:jc w:val="center"/>
      </w:pPr>
      <w:r>
        <w:drawing>
          <wp:inline xmlns:a="http://schemas.openxmlformats.org/drawingml/2006/main" xmlns:pic="http://schemas.openxmlformats.org/drawingml/2006/picture">
            <wp:extent cx="5680374" cy="1737360"/>
            <wp:docPr id="6" name="Picture 6"/>
            <wp:cNvGraphicFramePr>
              <a:graphicFrameLocks noChangeAspect="1"/>
            </wp:cNvGraphicFramePr>
            <a:graphic>
              <a:graphicData uri="http://schemas.openxmlformats.org/drawingml/2006/picture">
                <pic:pic>
                  <pic:nvPicPr>
                    <pic:cNvPr id="0" name="fig_polyester_structures.png"/>
                    <pic:cNvPicPr/>
                  </pic:nvPicPr>
                  <pic:blipFill>
                    <a:blip r:embed="rId14"/>
                    <a:stretch>
                      <a:fillRect/>
                    </a:stretch>
                  </pic:blipFill>
                  <pic:spPr>
                    <a:xfrm>
                      <a:off x="0" y="0"/>
                      <a:ext cx="5680374" cy="1737360"/>
                    </a:xfrm>
                    <a:prstGeom prst="rect"/>
                  </pic:spPr>
                </pic:pic>
              </a:graphicData>
            </a:graphic>
          </wp:inline>
        </w:drawing>
      </w:r>
    </w:p>
    <w:p>
      <w:pPr>
        <w:spacing w:line="240" w:lineRule="auto" w:after="80"/>
        <w:jc w:val="center"/>
      </w:pPr>
      <w:r>
        <w:rPr>
          <w:i/>
          <w:sz w:val="20"/>
        </w:rPr>
        <w:t>Figure 6. Polyester structure: (a) PHB and (b) PLLA repeat units (drawn by the authors with RDKit from verified SMILES; (R)/(S) marked because the chiral centre is not adjacent to a chain end), and (c) PHA/PLA helical packing (PHB 2₁, PLLA 10₃ helices) — a helix that crystallises but still melts, unlike cellulose's hydrogen-bonded ribbon, which decomposes first.</w:t>
      </w:r>
    </w:p>
    <w:p>
      <w:pPr>
        <w:jc w:val="both"/>
      </w:pPr>
      <w:r>
        <w:rPr>
          <w:b/>
          <w:i w:val="0"/>
        </w:rPr>
        <w:t>PHA</w:t>
      </w:r>
      <w:r>
        <w:rPr>
          <w:b w:val="0"/>
          <w:i w:val="0"/>
        </w:rPr>
        <w:t xml:space="preserve"> (bacterial storage granules; PHB the archetype) is highly crystalline (55–70%) but decomposes via six-membered-ring </w:t>
      </w:r>
      <w:r>
        <w:rPr>
          <w:i/>
        </w:rPr>
        <w:t>cis</w:t>
      </w:r>
      <w:r>
        <w:rPr>
          <w:b w:val="0"/>
          <w:i w:val="0"/>
        </w:rPr>
        <w:t xml:space="preserve">-elimination only tens of degrees above Tm [5] — the narrowest processing window in this report; PHBV/PHBHHx copolymers widen it at the cost of stiffness. </w:t>
      </w:r>
      <w:r>
        <w:rPr>
          <w:b/>
          <w:i w:val="0"/>
        </w:rPr>
        <w:t>PLA</w:t>
      </w:r>
      <w:r>
        <w:rPr>
          <w:b w:val="0"/>
          <w:i w:val="0"/>
        </w:rPr>
        <w:t>: ring-opening polymerisation of lactide via a Sn(Oct)₂ coordination–insertion mechanism [40,41] reaches useful MW where direct polycondensation cannot; PLLA crystallises slowly, but the PLLA/PDLA stereocomplex co-crystallises with Tm ~50 °C above either homocrystal via tighter enantiomeric packing [6,7]. PBS/PEF follow the same ester logic (§8).</w:t>
      </w:r>
    </w:p>
    <w:p>
      <w:pPr>
        <w:pStyle w:val="Heading2"/>
      </w:pPr>
      <w:r>
        <w:t>3.3 Protein-based Polymers</w:t>
      </w:r>
    </w:p>
    <w:p>
      <w:pPr>
        <w:keepNext/>
        <w:spacing w:after="40"/>
        <w:jc w:val="center"/>
      </w:pPr>
      <w:r>
        <w:drawing>
          <wp:inline xmlns:a="http://schemas.openxmlformats.org/drawingml/2006/main" xmlns:pic="http://schemas.openxmlformats.org/drawingml/2006/picture">
            <wp:extent cx="4616479" cy="1737360"/>
            <wp:docPr id="7" name="Picture 7"/>
            <wp:cNvGraphicFramePr>
              <a:graphicFrameLocks noChangeAspect="1"/>
            </wp:cNvGraphicFramePr>
            <a:graphic>
              <a:graphicData uri="http://schemas.openxmlformats.org/drawingml/2006/picture">
                <pic:pic>
                  <pic:nvPicPr>
                    <pic:cNvPr id="0" name="fig_protein_structures.png"/>
                    <pic:cNvPicPr/>
                  </pic:nvPicPr>
                  <pic:blipFill>
                    <a:blip r:embed="rId15"/>
                    <a:stretch>
                      <a:fillRect/>
                    </a:stretch>
                  </pic:blipFill>
                  <pic:spPr>
                    <a:xfrm>
                      <a:off x="0" y="0"/>
                      <a:ext cx="4616479" cy="1737360"/>
                    </a:xfrm>
                    <a:prstGeom prst="rect"/>
                  </pic:spPr>
                </pic:pic>
              </a:graphicData>
            </a:graphic>
          </wp:inline>
        </w:drawing>
      </w:r>
    </w:p>
    <w:p>
      <w:pPr>
        <w:spacing w:line="240" w:lineRule="auto" w:after="80"/>
        <w:jc w:val="center"/>
      </w:pPr>
      <w:r>
        <w:rPr>
          <w:i/>
          <w:sz w:val="20"/>
        </w:rPr>
        <w:t>Figure 7. Protein structure, drawn by the authors: (a) silk fibroin's (Gly-Ala)ₙ and (b) collagen's Gly-Pro-Hyp backbone repeat units (RDKit); (c) silk's antiparallel β-sheet nanocrystallites (2–4 nm, hydrogen-bonded, dispersed in a compliant amorphous matrix — the source of silk's combined strength and toughness); (d) collagen's Gly-X-Y triple helix, in which glycine at every third position is the only residue small enough for the crowded core.</w:t>
      </w:r>
    </w:p>
    <w:p>
      <w:pPr>
        <w:jc w:val="both"/>
      </w:pPr>
      <w:r>
        <w:rPr>
          <w:b w:val="0"/>
          <w:i w:val="0"/>
        </w:rPr>
        <w:t xml:space="preserve">Protein properties come from sequence-directed fold, not chain packing. </w:t>
      </w:r>
      <w:r>
        <w:rPr>
          <w:b/>
          <w:i w:val="0"/>
        </w:rPr>
        <w:t>Silk fibroin's</w:t>
      </w:r>
      <w:r>
        <w:rPr>
          <w:b w:val="0"/>
          <w:i w:val="0"/>
        </w:rPr>
        <w:t xml:space="preserve"> β-sheet nanocrystallites (2–4 nm, required for its combined strength and toughness [8]) sit in a compliant amorphous matrix. </w:t>
      </w:r>
      <w:r>
        <w:rPr>
          <w:b/>
          <w:i w:val="0"/>
        </w:rPr>
        <w:t>Collagen's</w:t>
      </w:r>
      <w:r>
        <w:rPr>
          <w:b w:val="0"/>
          <w:i w:val="0"/>
        </w:rPr>
        <w:t xml:space="preserve"> Gly-X-Y triple helix, stabilised by the stereoelectronic effect of hydroxyproline [45], denatures irreversibly into gelatin. Zein/casein/soy are film-forming, not structural (§8). Ribosomal synthesis fixes every protein molecule's length and sequence exactly (Đ = 1.0) — unmatched by any non-templated biopolymer (§4).</w:t>
      </w:r>
    </w:p>
    <w:p>
      <w:pPr>
        <w:pStyle w:val="Heading2"/>
      </w:pPr>
      <w:r>
        <w:t>3.4 Lignin and Other Aromatics</w:t>
      </w:r>
    </w:p>
    <w:p>
      <w:pPr>
        <w:keepNext/>
        <w:spacing w:after="40"/>
        <w:jc w:val="center"/>
      </w:pPr>
      <w:r>
        <w:drawing>
          <wp:inline xmlns:a="http://schemas.openxmlformats.org/drawingml/2006/main" xmlns:pic="http://schemas.openxmlformats.org/drawingml/2006/picture">
            <wp:extent cx="5943600" cy="1188720"/>
            <wp:docPr id="8" name="Picture 8"/>
            <wp:cNvGraphicFramePr>
              <a:graphicFrameLocks noChangeAspect="1"/>
            </wp:cNvGraphicFramePr>
            <a:graphic>
              <a:graphicData uri="http://schemas.openxmlformats.org/drawingml/2006/picture">
                <pic:pic>
                  <pic:nvPicPr>
                    <pic:cNvPr id="0" name="fig_lignin_monomers.png"/>
                    <pic:cNvPicPr/>
                  </pic:nvPicPr>
                  <pic:blipFill>
                    <a:blip r:embed="rId16"/>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8. The three monolignol precursors, drawn by the authors with RDKit: (a) p-coumaryl alcohol (0 methoxy groups), (b) coniferyl alcohol (1), (c) sinapyl alcohol (2). Radical coupling of these gives a randomly cross-linked network with no periodic chain, so only the monomers are drawn.</w:t>
      </w:r>
    </w:p>
    <w:p>
      <w:pPr>
        <w:jc w:val="both"/>
      </w:pPr>
      <w:r>
        <w:rPr>
          <w:b w:val="0"/>
          <w:i w:val="0"/>
        </w:rPr>
        <w:t xml:space="preserve">Lignin is cellulose's counterpoint: rigid </w:t>
      </w:r>
      <w:r>
        <w:rPr>
          <w:i/>
        </w:rPr>
        <w:t>because</w:t>
      </w:r>
      <w:r>
        <w:rPr>
          <w:b w:val="0"/>
          <w:i w:val="0"/>
        </w:rPr>
        <w:t xml:space="preserve"> regular vs. amorphous </w:t>
      </w:r>
      <w:r>
        <w:rPr>
          <w:i/>
        </w:rPr>
        <w:t>because</w:t>
      </w:r>
      <w:r>
        <w:rPr>
          <w:b w:val="0"/>
          <w:i w:val="0"/>
        </w:rPr>
        <w:t xml:space="preserve"> irregular. Radical-coupled monolignols give a randomly cross-linked network (β-O-4 ether ~45–60% of linkages [9]) whose composition varies by species and — for industrial use — extraction method (kraft, organosolv, lignosulfonate) [54], which is why no single "lignin" has one structure–property relationship. Lignin has no periodic chain, so only the monomers are drawn here — unlike the other families, an irregularly cross-linked network has no single "typical chain" to picture.</w:t>
      </w:r>
    </w:p>
    <w:p>
      <w:pPr>
        <w:pStyle w:val="Heading2"/>
      </w:pPr>
      <w:r>
        <w:t>3.5 Natural Rubber</w:t>
      </w:r>
    </w:p>
    <w:p>
      <w:pPr>
        <w:keepNext/>
        <w:spacing w:after="40"/>
        <w:jc w:val="center"/>
      </w:pPr>
      <w:r>
        <w:drawing>
          <wp:inline xmlns:a="http://schemas.openxmlformats.org/drawingml/2006/main" xmlns:pic="http://schemas.openxmlformats.org/drawingml/2006/picture">
            <wp:extent cx="5943600" cy="1188720"/>
            <wp:docPr id="9" name="Picture 9"/>
            <wp:cNvGraphicFramePr>
              <a:graphicFrameLocks noChangeAspect="1"/>
            </wp:cNvGraphicFramePr>
            <a:graphic>
              <a:graphicData uri="http://schemas.openxmlformats.org/drawingml/2006/picture">
                <pic:pic>
                  <pic:nvPicPr>
                    <pic:cNvPr id="0" name="fig_rubber_monomer.png"/>
                    <pic:cNvPicPr/>
                  </pic:nvPicPr>
                  <pic:blipFill>
                    <a:blip r:embed="rId17"/>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9. Natural rubber's repeat unit, cis-1,4-polyisoprene (drawn by the authors with RDKit from verified SMILES). Its chain-scale strain-induced-crystallisation structure appears in the §7.3 case study, Fig. 15.</w:t>
      </w:r>
    </w:p>
    <w:p>
      <w:pPr>
        <w:jc w:val="both"/>
      </w:pPr>
      <w:r>
        <w:rPr>
          <w:b w:val="0"/>
          <w:i w:val="0"/>
        </w:rPr>
        <w:t xml:space="preserve">Natural rubber is the flexible extreme and this section's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largely absent in synthetic </w:t>
      </w:r>
      <w:r>
        <w:rPr>
          <w:i/>
        </w:rPr>
        <w:t>cis</w:t>
      </w:r>
      <w:r>
        <w:rPr>
          <w:b w:val="0"/>
          <w:i w:val="0"/>
        </w:rPr>
        <w:t xml:space="preserve">-polyisoprene [10]. This is not a fixed material constant, though: NR's molecular weight and its distribution vary measurably between </w:t>
      </w:r>
      <w:r>
        <w:rPr>
          <w:i/>
        </w:rPr>
        <w:t>Hevea</w:t>
      </w:r>
      <w:r>
        <w:rPr>
          <w:b w:val="0"/>
          <w:i w:val="0"/>
        </w:rPr>
        <w:t xml:space="preserve"> clones and with tree age [19], and non-rubber protein/gel content is an active, clone-dependent contributor to network structure, not an incidental impurity [18]. The organising variable here is therefore not "crystallinity" per se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PROVISIONAL — teaching-level ranges used to keep Fig. 11/12 and this table internally consistent; each must be replaced with a cited literature value, and matched to a stated test condition (sample form, moisture, thermal history), before submission.</w:t>
      </w:r>
    </w:p>
    <w:p>
      <w:pPr>
        <w:pStyle w:val="Heading1"/>
      </w:pPr>
      <w:r>
        <w:t>4. Molecular Weight and Its Measurement</w:t>
      </w:r>
    </w:p>
    <w:p>
      <w:pPr>
        <w:jc w:val="both"/>
      </w:pPr>
      <w:r>
        <w:rPr>
          <w:b w:val="0"/>
          <w:i w:val="0"/>
        </w:rPr>
        <w:t xml:space="preserve">Molecular weight is reported casually in most surveys — "high molecular weight" — but the </w:t>
      </w:r>
      <w:r>
        <w:rPr>
          <w:i/>
        </w:rPr>
        <w:t>distribution</w:t>
      </w:r>
      <w:r>
        <w:rPr>
          <w:b w:val="0"/>
          <w:i w:val="0"/>
        </w:rPr>
        <w:t xml:space="preserve">, not just the average, is where the biology shows through. Mn, Mw, dispersity Đ = Mw/Mn (IUPAC terminology [46]), and degree of polymerisation (DP) are standard descriptors; Đ matters because it, not Mn alone, determines processing behaviour and the breadth of mechanical property distribution within a batch. </w:t>
      </w:r>
      <w:r>
        <w:rPr>
          <w:b/>
          <w:i w:val="0"/>
        </w:rPr>
        <w:t>Dispersity is a readout of synthesis mechanism, not noise</w:t>
      </w:r>
      <w:r>
        <w:rPr>
          <w:b w:val="0"/>
          <w:i w:val="0"/>
        </w:rPr>
        <w:t xml:space="preserve"> (Fig. 10): template-controlled biosynthesis gives proteins and nucleic acids Đ = 1.0 exactly, while every non-templated route — extraction (cellulose, chitosan, natural rubber) or catalysed polymerisation (PHA, PLA) — broadens the distribution to a degree set by how tightly that route is controlled. Natural rubber is the extreme case: because it is extracted rather than chain-grown,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4548868" cy="2194560"/>
            <wp:docPr id="10" name="Picture 10"/>
            <wp:cNvGraphicFramePr>
              <a:graphicFrameLocks noChangeAspect="1"/>
            </wp:cNvGraphicFramePr>
            <a:graphic>
              <a:graphicData uri="http://schemas.openxmlformats.org/drawingml/2006/picture">
                <pic:pic>
                  <pic:nvPicPr>
                    <pic:cNvPr id="0" name="fig9_dispersity.png"/>
                    <pic:cNvPicPr/>
                  </pic:nvPicPr>
                  <pic:blipFill>
                    <a:blip r:embed="rId18"/>
                    <a:stretch>
                      <a:fillRect/>
                    </a:stretch>
                  </pic:blipFill>
                  <pic:spPr>
                    <a:xfrm>
                      <a:off x="0" y="0"/>
                      <a:ext cx="4548868" cy="2194560"/>
                    </a:xfrm>
                    <a:prstGeom prst="rect"/>
                  </pic:spPr>
                </pic:pic>
              </a:graphicData>
            </a:graphic>
          </wp:inline>
        </w:drawing>
      </w:r>
    </w:p>
    <w:p>
      <w:pPr>
        <w:spacing w:line="240" w:lineRule="auto" w:after="80"/>
        <w:jc w:val="center"/>
      </w:pPr>
      <w:r>
        <w:rPr>
          <w:i/>
          <w:sz w:val="20"/>
        </w:rPr>
        <w:t>Figure 10. Dispersity Đ across families on a common axis: a point at Đ=1 for templated biosynthesis, ranges for PLA/PHA/chitosan/cellulose, an open-ended arrow for natural rubber's unquantified variability</w:t>
      </w:r>
    </w:p>
    <w:p>
      <w:pPr>
        <w:jc w:val="both"/>
      </w:pPr>
      <w:r>
        <w:rPr>
          <w:b/>
          <w:i w:val="0"/>
        </w:rPr>
        <w:t>Why molecular weight controls performance.</w:t>
      </w:r>
      <w:r>
        <w:rPr>
          <w:b w:val="0"/>
          <w:i w:val="0"/>
        </w:rPr>
        <w:t xml:space="preserve"> Mechanical integrity depends on chain entanglement above a characteristic Mc [48]; below it, strength and toughness collapse. Above Mc, tensile strength rises with Mn then saturates (Flory-type, σ ≈ σ∞ − K/Mn) [47], so degradation — first visible as falling MW — can proceed with only modest property loss until crossing back below Mc, where performance collapses abruptly, a failure mode relevant to §7–§8. </w:t>
      </w:r>
      <w:r>
        <w:rPr>
          <w:b/>
          <w:i w:val="0"/>
        </w:rPr>
        <w:t>Measuring</w:t>
      </w:r>
      <w:r>
        <w:rPr>
          <w:b w:val="0"/>
          <w:i w:val="0"/>
        </w:rPr>
        <w:t xml:space="preserve"> biopolymer MW is harder than for synthetic polymers: cellulose dissolves in no standard SEC eluent, requiring derivatisation or specialised solvents that can themselves degrade or aggregate the sample, while aggregation and branching distort SEC calibrated against linear standards. SEC-MALS or Mark–Houwink viscometry are more defensible, but Mark–Houwink parameters are missing for many biopolymer/solvent pairs. The result: reported MW for the same material commonly differs by an order of magnitude across the literature — an artefact of method more than genuine variation, so meaningful comparison requires the method too.</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10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examined each family in turn; this section turns the same evidence sideways, asking what pattern holds across all of them.</w:t>
      </w:r>
    </w:p>
    <w:p>
      <w:pPr>
        <w:pStyle w:val="Heading2"/>
      </w:pPr>
      <w:r>
        <w:t>5.1 Thermal Behaviour</w:t>
      </w:r>
    </w:p>
    <w:p>
      <w:pPr>
        <w:jc w:val="both"/>
      </w:pPr>
      <w:r>
        <w:rPr>
          <w:b w:val="0"/>
          <w:i w:val="0"/>
        </w:rPr>
        <w:t>A decomposition temperature at or below the melting point is close to the rule here (Fig. 11): the same network that gives stiffness also raises the melting energy toward the bond-breaking energy, crowding the two transitions together — cellulose, chitosan and silk fibroin never melt at all. Among the polyesters this crowding is quantitative: PHB's window spans only ~25 °C, PHBV widens it to ~55 °C, and PLLA's is wider still [44] (§3.2). Fig. 11 plots the TGA onset conservatively — for PLLA and PHB the usable window is narrower still, since melt hydrolysis (§4) begins earlier.</w:t>
      </w:r>
    </w:p>
    <w:p>
      <w:pPr>
        <w:keepNext/>
        <w:spacing w:after="40"/>
        <w:jc w:val="center"/>
      </w:pPr>
      <w:r>
        <w:drawing>
          <wp:inline xmlns:a="http://schemas.openxmlformats.org/drawingml/2006/main" xmlns:pic="http://schemas.openxmlformats.org/drawingml/2006/picture">
            <wp:extent cx="3786916" cy="1737360"/>
            <wp:docPr id="11" name="Picture 11"/>
            <wp:cNvGraphicFramePr>
              <a:graphicFrameLocks noChangeAspect="1"/>
            </wp:cNvGraphicFramePr>
            <a:graphic>
              <a:graphicData uri="http://schemas.openxmlformats.org/drawingml/2006/picture">
                <pic:pic>
                  <pic:nvPicPr>
                    <pic:cNvPr id="0" name="fig4_thermal_windows.png"/>
                    <pic:cNvPicPr/>
                  </pic:nvPicPr>
                  <pic:blipFill>
                    <a:blip r:embed="rId19"/>
                    <a:stretch>
                      <a:fillRect/>
                    </a:stretch>
                  </pic:blipFill>
                  <pic:spPr>
                    <a:xfrm>
                      <a:off x="0" y="0"/>
                      <a:ext cx="3786916" cy="1737360"/>
                    </a:xfrm>
                    <a:prstGeom prst="rect"/>
                  </pic:spPr>
                </pic:pic>
              </a:graphicData>
            </a:graphic>
          </wp:inline>
        </w:drawing>
      </w:r>
    </w:p>
    <w:p>
      <w:pPr>
        <w:spacing w:line="240" w:lineRule="auto" w:after="80"/>
        <w:jc w:val="center"/>
      </w:pPr>
      <w:r>
        <w:rPr>
          <w:i/>
          <w:sz w:val="20"/>
        </w:rPr>
        <w:t>Figure 11. Thermal properties and processing windows: Tg/Tm/Td for each material on a common temperature axis, window width labelled directly</w:t>
      </w:r>
    </w:p>
    <w:p>
      <w:pPr>
        <w:pStyle w:val="Heading2"/>
      </w:pPr>
      <w:r>
        <w:t>5.2 Mechanical Behaviour</w:t>
      </w:r>
    </w:p>
    <w:p>
      <w:pPr>
        <w:jc w:val="both"/>
      </w:pPr>
      <w:r>
        <w:rPr>
          <w:b w:val="0"/>
          <w:i w:val="0"/>
        </w:rPr>
        <w:t>The same logic sets the mechanical envelope (Fig. 12): high crystallinity and dense hydrogen bonding raise modulus but remove the flexible segments that let polyolefins draw before breaking, so biopolymers cluster toward high modulus, low elongation relative to PE/PP/PET [11,43]. Natural rubber is the exception — no modulus at rest, performance generated on demand by SIC (§3.5, §7.3). Fig. 12's windows are regions, not points: sample form, moisture, crystallinity and thermal history each shift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3601187" cy="1737360"/>
            <wp:docPr id="12" name="Picture 12"/>
            <wp:cNvGraphicFramePr>
              <a:graphicFrameLocks noChangeAspect="1"/>
            </wp:cNvGraphicFramePr>
            <a:graphic>
              <a:graphicData uri="http://schemas.openxmlformats.org/drawingml/2006/picture">
                <pic:pic>
                  <pic:nvPicPr>
                    <pic:cNvPr id="0" name="fig5_property_map.png"/>
                    <pic:cNvPicPr/>
                  </pic:nvPicPr>
                  <pic:blipFill>
                    <a:blip r:embed="rId20"/>
                    <a:stretch>
                      <a:fillRect/>
                    </a:stretch>
                  </pic:blipFill>
                  <pic:spPr>
                    <a:xfrm>
                      <a:off x="0" y="0"/>
                      <a:ext cx="3601187" cy="1737360"/>
                    </a:xfrm>
                    <a:prstGeom prst="rect"/>
                  </pic:spPr>
                </pic:pic>
              </a:graphicData>
            </a:graphic>
          </wp:inline>
        </w:drawing>
      </w:r>
    </w:p>
    <w:p>
      <w:pPr>
        <w:spacing w:line="240" w:lineRule="auto" w:after="80"/>
        <w:jc w:val="center"/>
      </w:pPr>
      <w:r>
        <w:rPr>
          <w:i/>
          <w:sz w:val="20"/>
        </w:rPr>
        <w:t>Figure 12. Ashby-style modulus vs. elongation-at-break map, region ellipses in log–log space, PE/PP/PET plotted for reference</w:t>
      </w:r>
    </w:p>
    <w:p>
      <w:pPr>
        <w:pStyle w:val="Heading2"/>
      </w:pPr>
      <w:r>
        <w:t>5.3 Hydrophilicity and Barrier Properties</w:t>
      </w:r>
    </w:p>
    <w:p>
      <w:pPr>
        <w:jc w:val="both"/>
      </w:pPr>
      <w:r>
        <w:rPr>
          <w:b w:val="0"/>
          <w:i w:val="0"/>
        </w:rPr>
        <w:t>The polar groups behind §5.1–5.2's strength have a third consequence: strong hygroscopicity. Absorbed water plasticises the amorphous fraction and swells free volume, so barrier performance falls as humidity rises. ⚙️ Atomistic free-volume/diffusion estimates offer a route to predicting this computationally, ahead of a packaging trial — which is why PLA and starch films must be specified with a storage-humidity condition, not a fixed barrier rating.</w:t>
      </w:r>
    </w:p>
    <w:p>
      <w:pPr>
        <w:pStyle w:val="Heading2"/>
      </w:pPr>
      <w:r>
        <w:t>5.4 Degradation as a Material Property</w:t>
      </w:r>
    </w:p>
    <w:p>
      <w:pPr>
        <w:jc w:val="both"/>
      </w:pPr>
      <w:r>
        <w:rPr>
          <w:b w:val="0"/>
          <w:i w:val="0"/>
        </w:rPr>
        <w:t>Degradation is a rate process governed by structure (Fig. 13). Polyesters degrade by autocatalytic ester hydrolysis (each scission's acid end catalyses further hydrolysis, so interiors degrade faster than surfaces — bulk erosion once the part is below a critical thickness [49]; Fig. 13a); polysaccharides and proteins instead degrade by enzymatic attack, which can only reach amorphous segments, so rate is set by accessible surface area, not bulk chemistry [50] (Fig. 13b). Crystallinity therefore recurs as this report's central trade-off — the same feature that sets modulus (§5.2) and blocks water uptake (§5.3) also blocks the attack that would degrade the material. ⚙️ Computed activation barriers for ester hydrolysis fall in the order base-catalysed &lt; acid-catalysed &lt; neutral, consistent with the observed pH-dependence of polyester degradation rate.</w:t>
      </w:r>
    </w:p>
    <w:p>
      <w:pPr>
        <w:keepNext/>
        <w:spacing w:after="40"/>
        <w:jc w:val="center"/>
      </w:pPr>
      <w:r>
        <w:drawing>
          <wp:inline xmlns:a="http://schemas.openxmlformats.org/drawingml/2006/main" xmlns:pic="http://schemas.openxmlformats.org/drawingml/2006/picture">
            <wp:extent cx="5055837" cy="1188720"/>
            <wp:docPr id="13" name="Picture 13"/>
            <wp:cNvGraphicFramePr>
              <a:graphicFrameLocks noChangeAspect="1"/>
            </wp:cNvGraphicFramePr>
            <a:graphic>
              <a:graphicData uri="http://schemas.openxmlformats.org/drawingml/2006/picture">
                <pic:pic>
                  <pic:nvPicPr>
                    <pic:cNvPr id="0" name="fig_degradation.png"/>
                    <pic:cNvPicPr/>
                  </pic:nvPicPr>
                  <pic:blipFill>
                    <a:blip r:embed="rId21"/>
                    <a:stretch>
                      <a:fillRect/>
                    </a:stretch>
                  </pic:blipFill>
                  <pic:spPr>
                    <a:xfrm>
                      <a:off x="0" y="0"/>
                      <a:ext cx="5055837" cy="1188720"/>
                    </a:xfrm>
                    <a:prstGeom prst="rect"/>
                  </pic:spPr>
                </pic:pic>
              </a:graphicData>
            </a:graphic>
          </wp:inline>
        </w:drawing>
      </w:r>
    </w:p>
    <w:p>
      <w:pPr>
        <w:spacing w:line="240" w:lineRule="auto" w:after="80"/>
        <w:jc w:val="center"/>
      </w:pPr>
      <w:r>
        <w:rPr>
          <w:i/>
          <w:sz w:val="20"/>
        </w:rPr>
        <w:t>Figure 13. Two degradation routes, drawn by the authors: (a) polyester backbone ester hydrolysis — the carboxylic-acid end group autocatalyses further hydrolysis, so thick parts erode from the inside (bulk erosion); (b) enzymatic attack on polysaccharides and proteins reaches only amorphous regions, so crystallinity sets the rate.</w:t>
      </w:r>
    </w:p>
    <w:p>
      <w:pPr>
        <w:pStyle w:val="Heading1"/>
      </w:pPr>
      <w:r>
        <w:t>6. Processing</w:t>
      </w:r>
    </w:p>
    <w:p>
      <w:pPr>
        <w:jc w:val="both"/>
      </w:pPr>
      <w:r>
        <w:rPr>
          <w:b w:val="0"/>
          <w:i w:val="0"/>
        </w:rPr>
        <w:t>Fig. 14 turns §5.1's windows into a processing decision: whether a stable melt window exists at all sets melt vs. solution processing, and each material's window width then sets how tightly that process must be controlled. The recurring judgement this yields: most reported "performance shortfalls" are processing-window shortfalls, not material-property shortfalls (§5.1–5.2).</w:t>
      </w:r>
    </w:p>
    <w:p>
      <w:pPr>
        <w:keepNext/>
        <w:spacing w:after="40"/>
        <w:jc w:val="center"/>
      </w:pPr>
      <w:r>
        <w:drawing>
          <wp:inline xmlns:a="http://schemas.openxmlformats.org/drawingml/2006/main" xmlns:pic="http://schemas.openxmlformats.org/drawingml/2006/picture">
            <wp:extent cx="3730380" cy="2194560"/>
            <wp:docPr id="14" name="Picture 14"/>
            <wp:cNvGraphicFramePr>
              <a:graphicFrameLocks noChangeAspect="1"/>
            </wp:cNvGraphicFramePr>
            <a:graphic>
              <a:graphicData uri="http://schemas.openxmlformats.org/drawingml/2006/picture">
                <pic:pic>
                  <pic:nvPicPr>
                    <pic:cNvPr id="0" name="fig10_processing_routes.png"/>
                    <pic:cNvPicPr/>
                  </pic:nvPicPr>
                  <pic:blipFill>
                    <a:blip r:embed="rId22"/>
                    <a:stretch>
                      <a:fillRect/>
                    </a:stretch>
                  </pic:blipFill>
                  <pic:spPr>
                    <a:xfrm>
                      <a:off x="0" y="0"/>
                      <a:ext cx="3730380" cy="2194560"/>
                    </a:xfrm>
                    <a:prstGeom prst="rect"/>
                  </pic:spPr>
                </pic:pic>
              </a:graphicData>
            </a:graphic>
          </wp:inline>
        </w:drawing>
      </w:r>
    </w:p>
    <w:p>
      <w:pPr>
        <w:spacing w:line="240" w:lineRule="auto" w:after="80"/>
        <w:jc w:val="center"/>
      </w:pPr>
      <w:r>
        <w:rPr>
          <w:i/>
          <w:sz w:val="20"/>
        </w:rPr>
        <w:t>Figure 14. Processing decision flowchart: stable melt window? → melt processing (PBS/PHB/PLA, window width sets control tightness) or solution processing (cellulose/chitosan dissolution routes) → shared countermeasures that widen whichever window exists.</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back to §3. </w:t>
      </w:r>
      <w:r>
        <w:rPr>
          <w:b/>
          <w:i w:val="0"/>
        </w:rPr>
        <w:t>Renewable, non-fossil feedstock</w:t>
      </w:r>
      <w:r>
        <w:rPr>
          <w:b w:val="0"/>
          <w:i w:val="0"/>
        </w:rPr>
        <w:t xml:space="preserve"> is the only one that applies uniformly across all five families. </w:t>
      </w:r>
      <w:r>
        <w:rPr>
          <w:b/>
          <w:i w:val="0"/>
        </w:rPr>
        <w:t>Biodegradability in leakage-prone contexts</w:t>
      </w:r>
      <w:r>
        <w:rPr>
          <w:b w:val="0"/>
          <w:i w:val="0"/>
        </w:rPr>
        <w:t xml:space="preserve"> — mulch film, fishing gear, disposable foodware — turns hydrolytic/enzymatic susceptibility from a processing burden into a desired property, provided the environment actually matches the material [51] (§5.4). </w:t>
      </w:r>
      <w:r>
        <w:rPr>
          <w:b/>
          <w:i w:val="0"/>
        </w:rPr>
        <w:t>Biocompatibility and bioresorbability</w:t>
      </w:r>
      <w:r>
        <w:rPr>
          <w:b w:val="0"/>
          <w:i w:val="0"/>
        </w:rPr>
        <w:t xml:space="preserve"> let PLA/PGA sutures [52], collagen/alginate hydrogels and chitosan dressings [55] do what commodity synthetics cannot without costly modification — the one application space (§8) where biopolymers are the only viable class, though not unconditionally so (§7.3). And </w:t>
      </w:r>
      <w:r>
        <w:rPr>
          <w:b/>
          <w:i w:val="0"/>
        </w:rPr>
        <w:t>intrinsic functionality beyond mechanics</w:t>
      </w:r>
      <w:r>
        <w:rPr>
          <w:b w:val="0"/>
          <w:i w:val="0"/>
        </w:rPr>
        <w:t xml:space="preserve"> — chirality (PLA stereocomplexation), pH-responsive charge (chitosan), sequence-encoded bioactivity (silk, collagen) — comes free with the biological structure itself.</w:t>
      </w:r>
    </w:p>
    <w:p>
      <w:pPr>
        <w:pStyle w:val="Heading2"/>
      </w:pPr>
      <w:r>
        <w:t>7.2 Where They Lose — Stated with Numbers, Not Adjectives</w:t>
      </w:r>
    </w:p>
    <w:p>
      <w:pPr>
        <w:jc w:val="both"/>
      </w:pPr>
      <w:r>
        <w:rPr>
          <w:i/>
        </w:rPr>
        <w:t>(Order-of-magnitude ranges consistent with cited values; each still needs a tighter primary citation before submission.)</w:t>
      </w:r>
    </w:p>
    <w:p>
      <w:pPr>
        <w:pStyle w:val="ListBullet"/>
      </w:pPr>
      <w:r>
        <w:rPr>
          <w:b/>
          <w:i w:val="0"/>
        </w:rPr>
        <w:t>Price.</w:t>
      </w:r>
      <w:r>
        <w:rPr>
          <w:b w:val="0"/>
          <w:i w:val="0"/>
        </w:rPr>
        <w:t xml:space="preserve"> PLA is several times the price of commodity PE/PP, and PHA higher still [16,53]; a material-specific $/kg figure still needs a current market-report citation before submission.</w:t>
      </w:r>
    </w:p>
    <w:p>
      <w:pPr>
        <w:pStyle w:val="ListBullet"/>
      </w:pPr>
      <w:r>
        <w:rPr>
          <w:b/>
          <w:i w:val="0"/>
        </w:rPr>
        <w:t>Heat/barrier.</w:t>
      </w:r>
      <w:r>
        <w:rPr>
          <w:b w:val="0"/>
          <w:i w:val="0"/>
        </w:rPr>
        <w:t xml:space="preserve"> PLA's HDT (~55–65 °C) sits well below PP's ~100 °C+ without stereocomplexation (§3.2) [13,42]; its O₂/CO₂ transmission is comparable to PET's, but water-vapour barrier is worse, and starch films worse again [14] — the correct critique is moisture sensitivity (§5.3), not a blanket oxygen deficit.</w:t>
      </w:r>
    </w:p>
    <w:p>
      <w:pPr>
        <w:pStyle w:val="ListBullet"/>
      </w:pPr>
      <w:r>
        <w:rPr>
          <w:b/>
          <w:i w:val="0"/>
        </w:rPr>
        <w:t>Brittleness/hygroscopicity.</w:t>
      </w:r>
      <w:r>
        <w:rPr>
          <w:b w:val="0"/>
          <w:i w:val="0"/>
        </w:rPr>
        <w:t xml:space="preserve"> PHB's secondary crystallisation and PLA's sub-Tg ageing embrittle over storage [43]; starch drifts with humidity (§3.1, §5.3) and PLA must be dried before melt processing to avoid uncontrolled MW loss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with NIR sorting keeping it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directly in the same applications (tyre tread, damping, conveyor belting) — the cleanest same-application comparison here, since differences trace to backbone chemistry, not processing. Fig. 15 draws out the chain-scale origin of that difference (SIC); Table 5 then scores both across seven dimensions, with citation numbers for every row, expanded in the References [10,18–32].</w:t>
      </w:r>
    </w:p>
    <w:p>
      <w:pPr>
        <w:keepNext/>
        <w:spacing w:after="40"/>
        <w:jc w:val="center"/>
      </w:pPr>
      <w:r>
        <w:drawing>
          <wp:inline xmlns:a="http://schemas.openxmlformats.org/drawingml/2006/main" xmlns:pic="http://schemas.openxmlformats.org/drawingml/2006/picture">
            <wp:extent cx="5831342" cy="2194560"/>
            <wp:docPr id="15" name="Picture 15"/>
            <wp:cNvGraphicFramePr>
              <a:graphicFrameLocks noChangeAspect="1"/>
            </wp:cNvGraphicFramePr>
            <a:graphic>
              <a:graphicData uri="http://schemas.openxmlformats.org/drawingml/2006/picture">
                <pic:pic>
                  <pic:nvPicPr>
                    <pic:cNvPr id="0" name="fig8_nr_sbr_comparison.png"/>
                    <pic:cNvPicPr/>
                  </pic:nvPicPr>
                  <pic:blipFill>
                    <a:blip r:embed="rId23"/>
                    <a:stretch>
                      <a:fillRect/>
                    </a:stretch>
                  </pic:blipFill>
                  <pic:spPr>
                    <a:xfrm>
                      <a:off x="0" y="0"/>
                      <a:ext cx="5831342" cy="2194560"/>
                    </a:xfrm>
                    <a:prstGeom prst="rect"/>
                  </pic:spPr>
                </pic:pic>
              </a:graphicData>
            </a:graphic>
          </wp:inline>
        </w:drawing>
      </w:r>
    </w:p>
    <w:p>
      <w:pPr>
        <w:spacing w:line="240" w:lineRule="auto" w:after="80"/>
        <w:jc w:val="center"/>
      </w:pPr>
      <w:r>
        <w:rPr>
          <w:i/>
          <w:sz w:val="20"/>
        </w:rPr>
        <w:t>Figure 15. NR and SBR structure, drawn by the authors: (a) NR (cis-1,4-polyisoprene), (b) SBR's 1,4-butadiene unit, (c) SBR's styrene unit (RDKit, verified SMILES); (d) at chain scale, stereoregular NR aligns into crystalline bundles under strain (SIC, X-ray confirmed) while SBR's irregular backbone stays amorphous even when stretched — the structural basis of the "SIC &amp; tear resistance" row of Table 5.</w:t>
      </w:r>
    </w:p>
    <w:p>
      <w:pPr>
        <w:spacing w:line="240" w:lineRule="auto" w:after="40"/>
      </w:pPr>
      <w:r>
        <w:rPr>
          <w:b/>
          <w:i w:val="0"/>
          <w:sz w:val="20"/>
        </w:rPr>
        <w:t>Table 5.</w:t>
      </w:r>
      <w:r>
        <w:rPr>
          <w:b w:val="0"/>
          <w:i w:val="0"/>
          <w:sz w:val="20"/>
        </w:rPr>
        <w:t xml:space="preserve"> Natural rubber (NR) vs. SBR, dimension by dimension — structurally favourable / formulation- or context-dependent / documented risk or caveat.</w:t>
      </w:r>
    </w:p>
    <w:tbl>
      <w:tblPr>
        <w:tblW w:type="auto" w:w="0"/>
        <w:jc w:val="center"/>
        <w:tblLayout w:type="fixed"/>
        <w:tblLook w:firstColumn="1" w:firstRow="1" w:lastColumn="0" w:lastRow="0" w:noHBand="0" w:noVBand="1" w:val="04A0"/>
        <w:tblLayout w:type="fixed"/>
      </w:tblPr>
      <w:tblGrid>
        <w:gridCol w:w="2475"/>
        <w:gridCol w:w="3230"/>
        <w:gridCol w:w="3222"/>
      </w:tblGrid>
      <w:tr>
        <w:tc>
          <w:tcPr>
            <w:tcW w:type="dxa" w:w="2476"/>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230"/>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22"/>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76"/>
            <w:tcBorders>
              <w:top w:val="nil"/>
              <w:bottom w:val="nil"/>
            </w:tcBorders>
          </w:tcPr>
          <w:p>
            <w:pPr>
              <w:spacing w:after="10" w:before="10" w:line="240" w:lineRule="auto"/>
            </w:pPr>
            <w:r>
              <w:rPr>
                <w:rFonts w:ascii="Arial" w:hAnsi="Arial"/>
                <w:b w:val="0"/>
                <w:i w:val="0"/>
                <w:sz w:val="16"/>
              </w:rPr>
              <w:t>Structure / MW control</w:t>
            </w:r>
          </w:p>
        </w:tc>
        <w:tc>
          <w:tcPr>
            <w:tcW w:type="dxa" w:w="3230"/>
            <w:tcBorders>
              <w:top w:val="nil"/>
              <w:bottom w:val="nil"/>
            </w:tcBorders>
          </w:tcPr>
          <w:p>
            <w:pPr>
              <w:spacing w:after="10" w:before="10" w:line="240" w:lineRule="auto"/>
            </w:pPr>
            <w:r>
              <w:rPr>
                <w:rFonts w:ascii="Arial" w:hAnsi="Arial"/>
                <w:b w:val="0"/>
                <w:i w:val="0"/>
                <w:sz w:val="16"/>
              </w:rPr>
              <w:t>Context-dependent: extracted; varies by clone &amp; tree age [19]</w:t>
            </w:r>
          </w:p>
        </w:tc>
        <w:tc>
          <w:tcPr>
            <w:tcW w:type="dxa" w:w="3222"/>
            <w:tcBorders>
              <w:top w:val="nil"/>
              <w:bottom w:val="nil"/>
            </w:tcBorders>
          </w:tcPr>
          <w:p>
            <w:pPr>
              <w:spacing w:after="10" w:before="10" w:line="240" w:lineRule="auto"/>
            </w:pPr>
            <w:r>
              <w:rPr>
                <w:rFonts w:ascii="Arial" w:hAnsi="Arial"/>
                <w:b w:val="0"/>
                <w:i w:val="0"/>
                <w:sz w:val="16"/>
              </w:rPr>
              <w:t>Favourable: engineered via emulsion/solution copolymerisation [20,21]</w:t>
            </w:r>
          </w:p>
        </w:tc>
      </w:tr>
      <w:tr>
        <w:tc>
          <w:tcPr>
            <w:tcW w:type="dxa" w:w="2476"/>
            <w:tcBorders>
              <w:top w:val="nil"/>
              <w:bottom w:val="nil"/>
            </w:tcBorders>
          </w:tcPr>
          <w:p>
            <w:pPr>
              <w:spacing w:after="10" w:before="10" w:line="240" w:lineRule="auto"/>
            </w:pPr>
            <w:r>
              <w:rPr>
                <w:rFonts w:ascii="Arial" w:hAnsi="Arial"/>
                <w:b w:val="0"/>
                <w:i w:val="0"/>
                <w:sz w:val="16"/>
              </w:rPr>
              <w:t>SIC &amp; tear resistance</w:t>
            </w:r>
          </w:p>
        </w:tc>
        <w:tc>
          <w:tcPr>
            <w:tcW w:type="dxa" w:w="3230"/>
            <w:tcBorders>
              <w:top w:val="nil"/>
              <w:bottom w:val="nil"/>
            </w:tcBorders>
          </w:tcPr>
          <w:p>
            <w:pPr>
              <w:spacing w:after="10" w:before="10" w:line="240" w:lineRule="auto"/>
            </w:pPr>
            <w:r>
              <w:rPr>
                <w:rFonts w:ascii="Arial" w:hAnsi="Arial"/>
                <w:b w:val="0"/>
                <w:i w:val="0"/>
                <w:sz w:val="16"/>
              </w:rPr>
              <w:t>Favourable: strong strain-induced crystallisation [10,23]</w:t>
            </w:r>
          </w:p>
        </w:tc>
        <w:tc>
          <w:tcPr>
            <w:tcW w:type="dxa" w:w="3222"/>
            <w:tcBorders>
              <w:top w:val="nil"/>
              <w:bottom w:val="nil"/>
            </w:tcBorders>
          </w:tcPr>
          <w:p>
            <w:pPr>
              <w:spacing w:after="10" w:before="10" w:line="240" w:lineRule="auto"/>
            </w:pPr>
            <w:r>
              <w:rPr>
                <w:rFonts w:ascii="Arial" w:hAnsi="Arial"/>
                <w:b w:val="0"/>
                <w:i w:val="0"/>
                <w:sz w:val="16"/>
              </w:rPr>
              <w:t>Context-dependent: crystallises far less; relies on filler/cure [24]</w:t>
            </w:r>
          </w:p>
        </w:tc>
      </w:tr>
      <w:tr>
        <w:tc>
          <w:tcPr>
            <w:tcW w:type="dxa" w:w="2476"/>
            <w:tcBorders>
              <w:top w:val="nil"/>
              <w:bottom w:val="nil"/>
            </w:tcBorders>
          </w:tcPr>
          <w:p>
            <w:pPr>
              <w:spacing w:after="10" w:before="10" w:line="240" w:lineRule="auto"/>
            </w:pPr>
            <w:r>
              <w:rPr>
                <w:rFonts w:ascii="Arial" w:hAnsi="Arial"/>
                <w:b w:val="0"/>
                <w:i w:val="0"/>
                <w:sz w:val="16"/>
              </w:rPr>
              <w:t>Blend performance</w:t>
            </w:r>
          </w:p>
        </w:tc>
        <w:tc>
          <w:tcPr>
            <w:tcW w:type="dxa" w:w="3230"/>
            <w:tcBorders>
              <w:top w:val="nil"/>
              <w:bottom w:val="nil"/>
            </w:tcBorders>
          </w:tcPr>
          <w:p>
            <w:pPr>
              <w:spacing w:after="10" w:before="10" w:line="240" w:lineRule="auto"/>
            </w:pPr>
            <w:r>
              <w:rPr>
                <w:rFonts w:ascii="Arial" w:hAnsi="Arial"/>
                <w:b w:val="0"/>
                <w:i w:val="0"/>
                <w:sz w:val="16"/>
              </w:rPr>
              <w:t>Context-dependent: SIC weakens as SBR fraction rises [22]</w:t>
            </w:r>
          </w:p>
        </w:tc>
        <w:tc>
          <w:tcPr>
            <w:tcW w:type="dxa" w:w="3222"/>
            <w:tcBorders>
              <w:top w:val="nil"/>
              <w:bottom w:val="nil"/>
            </w:tcBorders>
          </w:tcPr>
          <w:p>
            <w:pPr>
              <w:spacing w:after="10" w:before="10" w:line="240" w:lineRule="auto"/>
            </w:pPr>
            <w:r>
              <w:rPr>
                <w:rFonts w:ascii="Arial" w:hAnsi="Arial"/>
                <w:b w:val="0"/>
                <w:i w:val="0"/>
                <w:sz w:val="16"/>
              </w:rPr>
              <w:t>Context-dependent: reaches parity via reinforcement, not backbone [24]</w:t>
            </w:r>
          </w:p>
        </w:tc>
      </w:tr>
      <w:tr>
        <w:tc>
          <w:tcPr>
            <w:tcW w:type="dxa" w:w="2476"/>
            <w:tcBorders>
              <w:top w:val="nil"/>
              <w:bottom w:val="nil"/>
            </w:tcBorders>
          </w:tcPr>
          <w:p>
            <w:pPr>
              <w:spacing w:after="10" w:before="10" w:line="240" w:lineRule="auto"/>
            </w:pPr>
            <w:r>
              <w:rPr>
                <w:rFonts w:ascii="Arial" w:hAnsi="Arial"/>
                <w:b w:val="0"/>
                <w:i w:val="0"/>
                <w:sz w:val="16"/>
              </w:rPr>
              <w:t>Tg / cure network</w:t>
            </w:r>
          </w:p>
        </w:tc>
        <w:tc>
          <w:tcPr>
            <w:tcW w:type="dxa" w:w="3230"/>
            <w:tcBorders>
              <w:top w:val="nil"/>
              <w:bottom w:val="nil"/>
            </w:tcBorders>
          </w:tcPr>
          <w:p>
            <w:pPr>
              <w:spacing w:after="10" w:before="10" w:line="240" w:lineRule="auto"/>
            </w:pPr>
            <w:r>
              <w:rPr>
                <w:rFonts w:ascii="Arial" w:hAnsi="Arial"/>
                <w:b w:val="0"/>
                <w:i w:val="0"/>
                <w:sz w:val="16"/>
              </w:rPr>
              <w:t>Context-dependent: depends on formulation &amp; cure conditions [25,26]</w:t>
            </w:r>
          </w:p>
        </w:tc>
        <w:tc>
          <w:tcPr>
            <w:tcW w:type="dxa" w:w="3222"/>
            <w:tcBorders>
              <w:top w:val="nil"/>
              <w:bottom w:val="nil"/>
            </w:tcBorders>
          </w:tcPr>
          <w:p>
            <w:pPr>
              <w:spacing w:after="10" w:before="10" w:line="240" w:lineRule="auto"/>
            </w:pPr>
            <w:r>
              <w:rPr>
                <w:rFonts w:ascii="Arial" w:hAnsi="Arial"/>
                <w:b w:val="0"/>
                <w:i w:val="0"/>
                <w:sz w:val="16"/>
              </w:rPr>
              <w:t>Context-dependent: depends on formulation &amp; cure conditions [25,26]</w:t>
            </w:r>
          </w:p>
        </w:tc>
      </w:tr>
      <w:tr>
        <w:tc>
          <w:tcPr>
            <w:tcW w:type="dxa" w:w="2476"/>
            <w:tcBorders>
              <w:top w:val="nil"/>
              <w:bottom w:val="nil"/>
            </w:tcBorders>
          </w:tcPr>
          <w:p>
            <w:pPr>
              <w:spacing w:after="10" w:before="10" w:line="240" w:lineRule="auto"/>
            </w:pPr>
            <w:r>
              <w:rPr>
                <w:rFonts w:ascii="Arial" w:hAnsi="Arial"/>
                <w:b w:val="0"/>
                <w:i w:val="0"/>
                <w:sz w:val="16"/>
              </w:rPr>
              <w:t>Biocompatibility</w:t>
            </w:r>
          </w:p>
        </w:tc>
        <w:tc>
          <w:tcPr>
            <w:tcW w:type="dxa" w:w="3230"/>
            <w:tcBorders>
              <w:top w:val="nil"/>
              <w:bottom w:val="nil"/>
            </w:tcBorders>
          </w:tcPr>
          <w:p>
            <w:pPr>
              <w:spacing w:after="10" w:before="10" w:line="240" w:lineRule="auto"/>
            </w:pPr>
            <w:r>
              <w:rPr>
                <w:rFonts w:ascii="Arial" w:hAnsi="Arial"/>
                <w:b w:val="0"/>
                <w:i w:val="0"/>
                <w:sz w:val="16"/>
              </w:rPr>
              <w:t>Context-dependent: real potential, but latex protein allergy risk [27,28]</w:t>
            </w:r>
          </w:p>
        </w:tc>
        <w:tc>
          <w:tcPr>
            <w:tcW w:type="dxa" w:w="3222"/>
            <w:tcBorders>
              <w:top w:val="nil"/>
              <w:bottom w:val="nil"/>
            </w:tcBorders>
          </w:tcPr>
          <w:p>
            <w:pPr>
              <w:spacing w:after="10" w:before="10" w:line="240" w:lineRule="auto"/>
            </w:pPr>
            <w:r>
              <w:rPr>
                <w:rFonts w:ascii="Arial" w:hAnsi="Arial"/>
                <w:b w:val="0"/>
                <w:i w:val="0"/>
                <w:sz w:val="16"/>
              </w:rPr>
              <w:t>Risk: no unconditional biocompatibility claim [27,28]</w:t>
            </w:r>
          </w:p>
        </w:tc>
      </w:tr>
      <w:tr>
        <w:tc>
          <w:tcPr>
            <w:tcW w:type="dxa" w:w="2476"/>
            <w:tcBorders>
              <w:top w:val="nil"/>
              <w:bottom w:val="nil"/>
            </w:tcBorders>
          </w:tcPr>
          <w:p>
            <w:pPr>
              <w:spacing w:after="10" w:before="10" w:line="240" w:lineRule="auto"/>
            </w:pPr>
            <w:r>
              <w:rPr>
                <w:rFonts w:ascii="Arial" w:hAnsi="Arial"/>
                <w:b w:val="0"/>
                <w:i w:val="0"/>
                <w:sz w:val="16"/>
              </w:rPr>
              <w:t>Environmental footprint</w:t>
            </w:r>
          </w:p>
        </w:tc>
        <w:tc>
          <w:tcPr>
            <w:tcW w:type="dxa" w:w="3230"/>
            <w:tcBorders>
              <w:top w:val="nil"/>
              <w:bottom w:val="nil"/>
            </w:tcBorders>
          </w:tcPr>
          <w:p>
            <w:pPr>
              <w:spacing w:after="10" w:before="10" w:line="240" w:lineRule="auto"/>
            </w:pPr>
            <w:r>
              <w:rPr>
                <w:rFonts w:ascii="Arial" w:hAnsi="Arial"/>
                <w:b w:val="0"/>
                <w:i w:val="0"/>
                <w:sz w:val="16"/>
              </w:rPr>
              <w:t>Context-dependent: renewable, but LCA shows real land/energy cost [29,30]</w:t>
            </w:r>
          </w:p>
        </w:tc>
        <w:tc>
          <w:tcPr>
            <w:tcW w:type="dxa" w:w="3222"/>
            <w:tcBorders>
              <w:top w:val="nil"/>
              <w:bottom w:val="nil"/>
            </w:tcBorders>
          </w:tcPr>
          <w:p>
            <w:pPr>
              <w:spacing w:after="10" w:before="10" w:line="240" w:lineRule="auto"/>
            </w:pPr>
            <w:r>
              <w:rPr>
                <w:rFonts w:ascii="Arial" w:hAnsi="Arial"/>
                <w:b w:val="0"/>
                <w:i w:val="0"/>
                <w:sz w:val="16"/>
              </w:rPr>
              <w:t>Risk: fossil feedstock; biodegradable grades emerging [31]</w:t>
            </w:r>
          </w:p>
        </w:tc>
      </w:tr>
      <w:tr>
        <w:tc>
          <w:tcPr>
            <w:tcW w:type="dxa" w:w="2476"/>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230"/>
            <w:tcBorders>
              <w:top w:val="nil"/>
              <w:bottom w:val="single" w:sz="8" w:space="0" w:color="000000"/>
            </w:tcBorders>
          </w:tcPr>
          <w:p>
            <w:pPr>
              <w:spacing w:after="10" w:before="10" w:line="240" w:lineRule="auto"/>
            </w:pPr>
            <w:r>
              <w:rPr>
                <w:rFonts w:ascii="Arial" w:hAnsi="Arial"/>
                <w:b w:val="0"/>
                <w:i w:val="0"/>
                <w:sz w:val="16"/>
              </w:rPr>
              <w:t>Risk: historically the more volatile of the two [32]</w:t>
            </w:r>
          </w:p>
        </w:tc>
        <w:tc>
          <w:tcPr>
            <w:tcW w:type="dxa" w:w="3222"/>
            <w:tcBorders>
              <w:top w:val="nil"/>
              <w:bottom w:val="single" w:sz="8" w:space="0" w:color="000000"/>
            </w:tcBorders>
          </w:tcPr>
          <w:p>
            <w:pPr>
              <w:spacing w:after="10" w:before="10" w:line="240" w:lineRule="auto"/>
            </w:pPr>
            <w:r>
              <w:rPr>
                <w:rFonts w:ascii="Arial" w:hAnsi="Arial"/>
                <w:b w:val="0"/>
                <w:i w:val="0"/>
                <w:sz w:val="16"/>
              </w:rPr>
              <w:t>Context-dependent: steadier, but tied to petrochemical supply chain [32]</w:t>
            </w:r>
          </w:p>
        </w:tc>
      </w:tr>
    </w:tbl>
    <w:p>
      <w:pPr>
        <w:spacing w:after="0" w:line="240" w:lineRule="auto"/>
      </w:pPr>
    </w:p>
    <w:p>
      <w:pPr>
        <w:jc w:val="both"/>
      </w:pPr>
      <w:r>
        <w:rPr>
          <w:b w:val="0"/>
          <w:i w:val="0"/>
        </w:rPr>
        <w:t>NR is extracted, so its structure and SIC contribution are agricultural variables (clone, tree age); SBR's composition is instead engineered by emulsion/solution copolymerisation in a continuous industrial process [20,21]. Under matched compounding, NR's SIC gives superior tear and crack-growth resistance to start with [10,23], but SBR reaches comparable wear resistance through reinforcement and cure design rather than backbone crystallisation [24] — the clearest single illustration here of backbone chemistry trading off against formulation (§6). The "natural is better" story does not survive contact with the literature, though: NR latex carries a real, SBR-absent allergy risk [27,28], its renewability does not translate into a lower LCA footprint automatically [29,30], and NR pricing has historically been the more volatile of the two for climate/disease reasons unrelated to polymer chemistry [32].</w:t>
      </w:r>
    </w:p>
    <w:p>
      <w:pPr>
        <w:pStyle w:val="Heading1"/>
      </w:pPr>
      <w:r>
        <w:t>8. Applications</w:t>
      </w:r>
    </w:p>
    <w:p>
      <w:pPr>
        <w:jc w:val="both"/>
      </w:pPr>
      <w:r>
        <w:rPr>
          <w:b w:val="0"/>
          <w:i w:val="0"/>
        </w:rPr>
        <w:t xml:space="preserve">Each application states the property requirement first, then names the material that satisfies it (Table 4). </w:t>
      </w:r>
      <w:r>
        <w:rPr>
          <w:b/>
          <w:i w:val="0"/>
        </w:rPr>
        <w:t>Packaging</w:t>
      </w:r>
      <w:r>
        <w:rPr>
          <w:b w:val="0"/>
          <w:i w:val="0"/>
        </w:rPr>
        <w:t xml:space="preserve"> needs O₂/H₂O barrier, toughness, and heat resistance exceeding PLA's HDT (§7.2); no single biopolymer satisfies all three (§5.3), so packaging is almost always multilayer or blended. Compostable foodware and mulch film are where §7.1's biodegradability, not barrier, drives the design, needing a rate matched to use timescale (§5.4). </w:t>
      </w:r>
      <w:r>
        <w:rPr>
          <w:b/>
          <w:i w:val="0"/>
        </w:rPr>
        <w:t>Biomedical</w:t>
      </w:r>
      <w:r>
        <w:rPr>
          <w:b w:val="0"/>
          <w:i w:val="0"/>
        </w:rPr>
        <w:t xml:space="preserve"> applications need biocompatibility plus a tunable degradation rate (§5.4) — essentially unique here (§7.1, with the NR-latex caveat in §7.3): PGA/PLGA are established suture materials whose main failure mode is local pH drop from acidic hydrolysis products [52,53]; collagen/alginate/chitosan extend the logic to scaffolds and bioprinting [55]. </w:t>
      </w:r>
      <w:r>
        <w:rPr>
          <w:b/>
          <w:i w:val="0"/>
        </w:rPr>
        <w:t>Textiles/other:</w:t>
      </w:r>
      <w:r>
        <w:rPr>
          <w:b w:val="0"/>
          <w:i w:val="0"/>
        </w:rPr>
        <w:t xml:space="preserve"> Lyocell and PLA fibre exploit cellulose's solution-processed stiffness (§3.1, §6 [36]) and PLA's melt-spinnability (§3.2);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million tonnes in 2025 — under 1% of global plastics — projected to double by 2030 [16]. Growth concentrates in bio-based PE/PP and PHA, expanding fastest despite remaining priciest (§7.2) [16]. The bottlenecks are the same three properties organising §5 — processing windows, humidity-dependent performance, batch variability — none solved by scale alone. Two directions look most promising: enzymatic depolymerisation back to monomer (recent enzyme cocktails reached ~60% lactic-acid recovery from post-consumer PLA within 72 hours [17]); and ⚙️ data-driven property prediction (QSPR / polymer-informatics ML models [56]) to shorten the trial-and-error cycle of matching backbone chemistry to a processing window.</w:t>
      </w:r>
    </w:p>
    <w:p>
      <w:pPr>
        <w:pStyle w:val="Heading1"/>
      </w:pPr>
      <w:r>
        <w:t>10. Conclusions</w:t>
      </w:r>
    </w:p>
    <w:p>
      <w:pPr>
        <w:jc w:val="both"/>
      </w:pPr>
      <w:r>
        <w:rPr>
          <w:b w:val="0"/>
          <w:i w:val="0"/>
        </w:rPr>
        <w:t>Three judgements follow. First, the performance ceiling here is set by thermal and hygroscopic behaviour (§5.1, §5.3), not mechanical strength (§5.2) — most families meet or exceed synthetic-polymer stiffness and fail instead on processing window and moisture sensitivity. Second, crystallinity governs the entire trade-off (§5.4): the same feature that supplies stiffness, blocks water uptake, and blocks the attack that would degrade the material means raising one predictably lowers the other two — the NR/SBR case study (§7.3) shows the same trade-off through formulation, not backbone chemistry alone. Third, molecular weight data are only comparable alongside their measurement method (§4): the features that make it hard to measure — hydrogen bonding, branching, sequence specificity, agricultural sourcing — are the same features used throughout to explain performance.</w:t>
      </w:r>
    </w:p>
    <w:p>
      <w:pPr>
        <w:pStyle w:val="Heading1"/>
      </w:pPr>
      <w:r>
        <w:t>References *(56 entries, all DOI-verified via Crossref; assignment requires 50–60)*</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