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1、图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41853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1853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 是从生物质提取，M 是由微生物合成，S 是由生物基单体聚合</w:t>
      </w: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2 把每个家族的作用力、结果和局限放在一行上。图 3 汇总了所有重复单元，图 4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16903" cy="1600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6903" cy="160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3a）形成伸展的扁平带状结构。氢键把这些带状链锁进堆叠的 Iα 和 Iβ 片层（图 4a）。把片层结合在一起的总能量大于主链键的强度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4b）。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4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6055" cy="2468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6055" cy="246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3f）。它用于硬质包装、涂层和可堆肥物品。它的加工窗口是本文中最窄的，约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4d）。PBS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3h）同时既强又韧，这对任何聚合物都很少见。所以它用作高级缝合线和组织支架材料，也用作韧性纤维的研究模型。这份韧性来自 2 到 4 nm 大小的 β-折叠纳米晶体，它们分散在柔顺的无定形基体中（图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4f），由羟脯氨酸的立体电子效应稳定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81399" cy="1920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1399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3j-l）的自由基偶联搭出一个不规则的交联网络，没有重复的链。β-O-4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6）。蛋白质和核酸按模板合成，每条链长度一样，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43042" cy="137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3042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88293" cy="1554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8293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7）。聚酯通过一种会自我催化的酯水解降解。每次断链留下的酸性端基会加速下一次断链，所以制品薄到临界厚度以下之后，它的内部比表面侵蚀得更快。这就是本体侵蚀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6927" cy="1097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6927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8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44589" cy="1371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4589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万吨，不到全球塑料的 1%，预计到 2030 年翻倍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