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T-Dormathon 产品规格评审稿</w:t>
      </w:r>
    </w:p>
    <w:p>
      <w:pPr>
        <w:pStyle w:val="Subtitle"/>
        <w:widowControl/>
      </w:pPr>
      <w:r>
        <w:t>Taotern 团队    2026 年 10 月 9 日    草案 0.3</w:t>
      </w:r>
    </w:p>
    <w:p>
      <w:pPr>
        <w:widowControl/>
      </w:pPr>
      <w:r>
        <w:t>已确认产品服务于 hackathon，而非投产。本稿请负责人先完善并批准问题、需求与验收，再开发展示。文中的“必须”是待批准要求，不表示能力已实现；完整目标与竞赛可运行范围分别说明。审批前不上传 GitHub，批准后按已授权私有仓库范围更新。</w:t>
      </w:r>
    </w:p>
    <w:p>
      <w:pPr>
        <w:pStyle w:val="Heading1"/>
        <w:widowControl/>
      </w:pPr>
      <w:r>
        <w:t>1 产品决策摘要</w:t>
      </w:r>
    </w:p>
    <w:p>
      <w:pPr>
        <w:pStyle w:val="Heading2"/>
        <w:widowControl/>
      </w:pPr>
      <w:r>
        <w:t>我们要解决的问题</w:t>
      </w:r>
    </w:p>
    <w:p>
      <w:pPr>
        <w:widowControl/>
      </w:pPr>
      <w:r>
        <w:t>组织难以从分散的内部运营资料与外部信息中，提前识别供应库存履约、采购发票回款阻塞、服务业务流程延误、能源食物及其他经营浪费这四类相互关联的问题；也难以判断其影响，并在有限资金、人力、时间和资源约束下，选择有依据的应对。四个方向共同构成产品问题陈述。</w:t>
      </w:r>
    </w:p>
    <w:p>
      <w:pPr>
        <w:widowControl/>
      </w:pPr>
      <w:r>
        <w:t>产品必须把内部运营、交易对手能力／历史、实际依赖／暴露和外部经营条件组织成可核查的主体、关系与历史状态，发现可能变贵的经营问题，并比较可行行动及其代价。这四层都是核心输入；全球情报、实体轴、时间轴与 RL 沙盘支撑共同闭环。</w:t>
      </w:r>
    </w:p>
    <w:p>
      <w:pPr>
        <w:pStyle w:val="Heading2"/>
        <w:widowControl/>
      </w:pPr>
      <w:r>
        <w:t>目标用户与成功含义</w:t>
      </w:r>
    </w:p>
    <w:p>
      <w:pPr>
        <w:widowControl/>
      </w:pPr>
      <w:r>
        <w:t>核心用户是组织的运营、采购与财务、服务流程及资源管理负责人。用户需要知道：哪里可能出问题、会影响哪些业务对象、证据与未知是什么、现在有哪些可行行动，以及这些行动如何争用资源或改变其他问题。</w:t>
      </w:r>
    </w:p>
    <w:p>
      <w:pPr>
        <w:widowControl/>
      </w:pPr>
      <w:r>
        <w:t>成功应体现为更早且更准地发现重要问题、更快核查证据，以及在明确约束下得到可解释的行动比较。数据量、功能数量、图谱规模或采用 RL 本身均不构成成功证明。真实经营收益必须有适当运营数据与评估支持。</w:t>
      </w:r>
    </w:p>
    <w:p>
      <w:pPr>
        <w:pStyle w:val="Heading2"/>
        <w:widowControl/>
      </w:pPr>
      <w:r>
        <w:t>已确认目标与范围</w:t>
      </w:r>
    </w:p>
    <w:p>
      <w:pPr>
        <w:widowControl/>
      </w:pPr>
      <w:r>
        <w:t>Dormathon 为首要目标，可信性先于新颖性，每阶段都保持可使用、可演示。基线须完整覆盖前三类问题，第四类有实质入口；四类共用核心能力。全球国家、主要政治组织、主要企业，以及中小企业趋势、独角兽与跨领域信息仍是情报覆盖目标。历史最低 2020 年至今，1990 年起为优先扩展目标。</w:t>
      </w:r>
    </w:p>
    <w:p>
      <w:pPr>
        <w:pStyle w:val="Heading2"/>
        <w:widowControl/>
      </w:pPr>
      <w:r>
        <w:t>竞赛约束与评审提议</w:t>
      </w:r>
    </w:p>
    <w:p>
      <w:pPr>
        <w:widowControl/>
      </w:pPr>
      <w:r>
        <w:t>官方 Track 1 主题为 “How can AI spot problems before they become expensive, and help someone decide what to do about them?” [O1] 该主题是外部动机与约束，不替代上述产品问题陈述。10 月 10 至 11 日的详细竞赛任务仍待确认。</w:t>
      </w:r>
    </w:p>
    <w:p>
      <w:pPr>
        <w:widowControl/>
      </w:pPr>
      <w:r>
        <w:t>本稿提出的对象契约、分阶段方案、主演示路径与验收阈值均待评审。假设是：合法可用的公开资料能提供外部背景；经营记录由用户授权数据、公开基准或明确标记的合成数据支撑。外部资料不能单独证明库存、现金流、服务承诺／处理时限或能耗影响。SLA（Service Level Agreement，服务等级协议）用于明确对外服务质量与时限承诺；内部处理目标不一定构成 SLA。</w:t>
      </w:r>
    </w:p>
    <w:p>
      <w:pPr>
        <w:widowControl/>
        <w:spacing w:line="260" w:lineRule="exact"/>
      </w:pPr>
      <w:r>
        <w:rPr>
          <w:sz w:val="18"/>
        </w:rPr>
        <w:t>来源：已确认方向与范围来自负责人 2026 年 10 月 9 日的项目讨论；接口、评测细则与主案例为本稿提议。[O1] Dormathon 2026 官方活动页。</w:t>
      </w:r>
      <w:hyperlink r:id="rId11">
        <w:r>
          <w:rPr>
            <w:sz w:val="18"/>
          </w:rPr>
          <w:t xml:space="preserve"> 查看来源</w:t>
        </w:r>
      </w:hyperlink>
    </w:p>
    <w:p>
      <w:pPr>
        <w:pStyle w:val="Heading1"/>
        <w:pageBreakBefore/>
        <w:widowControl/>
      </w:pPr>
      <w:r>
        <w:t>2 四类经营需求与追踪</w:t>
      </w:r>
    </w:p>
    <w:p>
      <w:pPr>
        <w:widowControl/>
      </w:pPr>
      <w:r>
        <w:t>四类业务对象共用四层核心输入：内部运营；交易对手的能力及有证据历史；路线、业务依赖和实际暴露；天气、政策、经营日历、当地需求习惯与安全条件。每类均输出风险、影响、可行行动、假设及可观测结果；缺少必要输入时限定结论，而非省略这一层。</w:t>
      </w:r>
    </w:p>
    <w:p>
      <w:pPr>
        <w:pStyle w:val="Heading2"/>
        <w:widowControl/>
      </w:pPr>
      <w:r>
        <w:t>FR01 供应库存履约</w:t>
      </w:r>
    </w:p>
    <w:p>
      <w:pPr>
        <w:widowControl/>
      </w:pPr>
      <w:r>
        <w:t>输入包括 SKU、可用／预留库存、在途、需求、供应商／承运商能力与历史；路线分段、道路／港口／边境、方式、计划运输时间与替代路线；对应地点和时段的通行、天气、政策、假日／节庆拥堵及安全条件。沿订单暴露识别缺货、过量和履约风险，比较补货、重分配、替代对手、改道／改期／换方式、缓冲与加急。约束包括库存守恒、交期、容量和资金；结果记录履约、缺货、库存及总成本。</w:t>
      </w:r>
    </w:p>
    <w:p>
      <w:pPr>
        <w:pStyle w:val="Heading2"/>
        <w:widowControl/>
      </w:pPr>
      <w:r>
        <w:t>FR02 采购发票回款阻塞</w:t>
      </w:r>
    </w:p>
    <w:p>
      <w:pPr>
        <w:widowControl/>
      </w:pPr>
      <w:r>
        <w:t>输入包括采购单、收货、发票、到期日、实际付款／收款、审批与现金；供应商／客户历史、合同付款依赖、物流节点与适用银行营业日、支付截止、政策及结算惯例。区分未到期、逾期、缺失和阻塞，定位现金缺口，比较补件、催办、处理次序与合法可行的改期／替代对手。销售日期不等于收款日；记录完整性未证明时，未见付款不能判定未付。假日是否顺延须依据适用规则，不作统一假设。</w:t>
      </w:r>
    </w:p>
    <w:p>
      <w:pPr>
        <w:pStyle w:val="Heading2"/>
        <w:widowControl/>
      </w:pPr>
      <w:r>
        <w:t>FR03 服务业务流程延误</w:t>
      </w:r>
    </w:p>
    <w:p>
      <w:pPr>
        <w:widowControl/>
      </w:pPr>
      <w:r>
        <w:t>输入包括请求／任务、步骤、依赖、队列、岗位能力／授权／排班休息、服务商历史及服务承诺／处理时限；现场或上游路线暴露、营业日、假期、节庆需求与安全通行条件。识别瓶颈及超时风险，比较排程、合资格改派、升级和容量分配。结果记录完成时间、正式 SLA 违约／内部处理超时、等待与资源占用；区分暂停、取消、未完成与失败，不将内部目标称作正式协议。</w:t>
      </w:r>
    </w:p>
    <w:p>
      <w:pPr>
        <w:pStyle w:val="Heading2"/>
        <w:widowControl/>
      </w:pPr>
      <w:r>
        <w:t>FR04 能源食物及其他经营浪费</w:t>
      </w:r>
    </w:p>
    <w:p>
      <w:pPr>
        <w:widowControl/>
      </w:pPr>
      <w:r>
        <w:t>输入包括实际能耗、产出、用量、损耗、食物批次／保质期、计价与处置规则；供应／冷链能力、运输与储存暴露、天气、营业日／节庆需求、适用政策与经营习惯。识别异常消耗、过期、过量和低效使用，比较节能排程、批量、周转、缓冲与运输替代。价格不等于消耗，费用与物理量分开。基线先做食物批次过期／报废，比较固定批量与先到期先出／批量调整，不要求同时完成全部浪费类别。</w:t>
      </w:r>
    </w:p>
    <w:p>
      <w:pPr>
        <w:pStyle w:val="Heading2"/>
        <w:widowControl/>
      </w:pPr>
      <w:r>
        <w:t>问题到验收再到演示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936"/>
        <w:gridCol w:w="936"/>
        <w:gridCol w:w="6696"/>
      </w:tblGrid>
      <w:tr>
        <w:trPr>
          <w:tblHeader w:val="true"/>
          <w:cantSplit/>
        </w:trPr>
        <w:tc>
          <w:tcPr>
            <w:tcW w:type="dxa" w:w="1656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936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936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验收</w:t>
            </w:r>
          </w:p>
        </w:tc>
        <w:tc>
          <w:tcPr>
            <w:tcW w:type="dxa" w:w="6696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/>
                <w:color w:val="FFFFFF"/>
                <w:sz w:val="19"/>
              </w:rPr>
              <w:t>必须展示的证据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PS1 供应库存履约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FR01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AC01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同一订单链的风险、可行行动与履约／成本基线比较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PS2 采购发票回款</w:t>
            </w:r>
          </w:p>
        </w:tc>
        <w:tc>
          <w:tcPr>
            <w:tcW w:type="dxa" w:w="93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FR02</w:t>
            </w:r>
          </w:p>
        </w:tc>
        <w:tc>
          <w:tcPr>
            <w:tcW w:type="dxa" w:w="93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AC02</w:t>
            </w:r>
          </w:p>
        </w:tc>
        <w:tc>
          <w:tcPr>
            <w:tcW w:type="dxa" w:w="669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单据与审批链、真实日期语义、逾期／缺口及处理比较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PS3 服务流程延误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FR03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AC03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步骤与资源依赖、服务承诺／处理时限时钟、瓶颈与排程基线比较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PS4 经营浪费</w:t>
            </w:r>
          </w:p>
        </w:tc>
        <w:tc>
          <w:tcPr>
            <w:tcW w:type="dxa" w:w="93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FR04</w:t>
            </w:r>
          </w:p>
        </w:tc>
        <w:tc>
          <w:tcPr>
            <w:tcW w:type="dxa" w:w="93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AC04</w:t>
            </w:r>
          </w:p>
        </w:tc>
        <w:tc>
          <w:tcPr>
            <w:tcW w:type="dxa" w:w="6696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一种实质浪费记录、物理量与费用分离、减损行动比较</w:t>
            </w:r>
          </w:p>
        </w:tc>
      </w:tr>
    </w:tbl>
    <w:p>
      <w:pPr>
        <w:widowControl/>
      </w:pPr>
      <w:r/>
    </w:p>
    <w:p>
      <w:pPr>
        <w:widowControl/>
      </w:pPr>
      <w:r>
        <w:t>共同支撑：FR05–06 情报／工作台；FR07–09 实体／历史；FR10–13 决策；FR14–15 安全／复现；FR16 依赖暴露／经营条件；FR17 岗位能力／运行安全。演示须沿需求追踪证明结果。</w:t>
      </w:r>
    </w:p>
    <w:p>
      <w:pPr>
        <w:pStyle w:val="Heading1"/>
        <w:pageBreakBefore/>
        <w:widowControl/>
      </w:pPr>
      <w:r>
        <w:t>3 依赖暴露与外部经营条件</w:t>
      </w:r>
    </w:p>
    <w:p>
      <w:pPr>
        <w:pStyle w:val="Heading2"/>
        <w:widowControl/>
      </w:pPr>
      <w:r>
        <w:t>FR16 四层输入的实际适用关系</w:t>
      </w:r>
    </w:p>
    <w:p>
      <w:pPr>
        <w:widowControl/>
      </w:pPr>
      <w:r>
        <w:t>内部记录定义业务对象和资源；交易对手层提供角色、能力、容量及有证据历史；依赖层说明业务实际使用哪些路线、节点、对手、设备、岗位或银行；条件层给出对应地点／主体与时段的天气、政策、日历、经营实践及安全信息。缺少暴露映射时，外部事件只能成为待核查线索，不能直接变成业务影响。</w:t>
      </w:r>
    </w:p>
    <w:p>
      <w:pPr>
        <w:pStyle w:val="Heading2"/>
        <w:widowControl/>
      </w:pPr>
      <w:r>
        <w:t>路线与空间时间暴露</w:t>
      </w:r>
    </w:p>
    <w:p>
      <w:pPr>
        <w:widowControl/>
      </w:pPr>
      <w:r>
        <w:t>Route／RouteLeg 保存起终点、分段与节点、道路／港口／边境、承运商、运输方式、计划通过时段／运输时间和可行替代。Exposure 把订单、物料、发票、任务或资源连到具体依赖、影响窗口及映射证据。通行条件必须匹配分段、方向与时段；国家级事件不能证明某条路线关闭。</w:t>
      </w:r>
    </w:p>
    <w:p>
      <w:pPr>
        <w:widowControl/>
      </w:pPr>
      <w:r>
        <w:t>同一条件对四方向的机制可能不同：绕行改变履约时间和运输成本；物流延误可能影响收货后的付款节点；假期改变银行营业日及服务计时；节庆需求或营业时段改变库存、食物报废与能耗。每条传播都需要业务关系及适用规则，不能仅凭时间同现。</w:t>
      </w:r>
    </w:p>
    <w:p>
      <w:pPr>
        <w:pStyle w:val="Heading2"/>
        <w:widowControl/>
      </w:pPr>
      <w:r>
        <w:t>天气 政策 日历与经营实践</w:t>
      </w:r>
    </w:p>
    <w:p>
      <w:pPr>
        <w:widowControl/>
      </w:pPr>
      <w:r>
        <w:t>OperationalCondition 保存观测／预测／公告类别、地理与主体适用范围、事件及生效区间、公开可用与获取时间、来源、版本、冲突和不确定性。政策须匹配辖区、业务／品类、适用主体和生效／撤销时间。假日、节庆、当地营业与银行营业日分别记录，不能假定所有国家、组织或业务同步停工。</w:t>
      </w:r>
    </w:p>
    <w:p>
      <w:pPr>
        <w:widowControl/>
      </w:pPr>
      <w:r>
        <w:t>文化输入仅限可观察且有依据的经营日历、需求季节性、营业／支付实践或具体交付约定，不把国籍、宗教或文化概括转成诚信／能力分数。安全条件按已报告事件、地点、时段、影响类型与证据状态处理；抗议、通行中断、暴力、盗窃和延误是不同断言。</w:t>
      </w:r>
    </w:p>
    <w:p>
      <w:pPr>
        <w:pStyle w:val="Heading2"/>
        <w:widowControl/>
      </w:pPr>
      <w:r>
        <w:t>交易对手的能力与历史</w:t>
      </w:r>
    </w:p>
    <w:p>
      <w:pPr>
        <w:widowControl/>
      </w:pPr>
      <w:r>
        <w:t>CounterpartyHistory 记录对应主体及角色、承诺／义务、时期、证据、事件状态、结果／解决情况与统计分母。经核实违约、正在争议、单方投诉和未查明情况分开；供应商、承运商、客户等角色的历史不能互相替代。没有负面记录只表示现有覆盖未见记录，不证明表现良好；不得生成“坏历史”黑名单。</w:t>
      </w:r>
    </w:p>
    <w:p>
      <w:pPr>
        <w:pStyle w:val="Heading2"/>
        <w:widowControl/>
      </w:pPr>
      <w:r>
        <w:t>假设演示与数据不足</w:t>
      </w:r>
    </w:p>
    <w:p>
      <w:pPr>
        <w:widowControl/>
      </w:pPr>
      <w:r>
        <w:t>法国某地抗议影响一段货运路线仅作为明确标记的假设 fixture，不代表已核实的当前事件。先检查实际路线、时段和官方／运营通行证据；条件不足时返回 insufficient_data。可比较改道、改期、换方式、缓冲与替代对手，说明成本和假设，不执行真实行动。</w:t>
      </w:r>
    </w:p>
    <w:p>
      <w:pPr>
        <w:pStyle w:val="Heading1"/>
        <w:pageBreakBefore/>
        <w:widowControl/>
      </w:pPr>
      <w:r>
        <w:t>4 完整用户路径与相互影响</w:t>
      </w:r>
    </w:p>
    <w:p>
      <w:pPr>
        <w:pStyle w:val="Heading2"/>
        <w:widowControl/>
      </w:pPr>
      <w:r>
        <w:t>J1 供应库存与履约负责人</w:t>
      </w:r>
    </w:p>
    <w:p>
      <w:pPr>
        <w:widowControl/>
      </w:pPr>
      <w:r>
        <w:t>设定组织、订单／物料、地区与时间 → 核查库存、交易对手历史、实际路线和经营条件 → 确认受影响订单与缺口 → 定义资金／容量／通行约束 → 比较不行动、规则补货、改道／改期及候选策略 → 人工选择并保存依据。返回资料页保留筛选、分页和焦点。未知库存、需求或暴露映射时限定为线索，不能伪造影响。</w:t>
      </w:r>
    </w:p>
    <w:p>
      <w:pPr>
        <w:pStyle w:val="Heading2"/>
        <w:widowControl/>
      </w:pPr>
      <w:r>
        <w:t>J2 采购与财务负责人</w:t>
      </w:r>
    </w:p>
    <w:p>
      <w:pPr>
        <w:widowControl/>
      </w:pPr>
      <w:r>
        <w:t>进入采购／发票／回款队列 → 区分到期、缺失与阻塞 → 沿主键核查收货、审批、付款／收款及交易对手历史 → 检查物流依赖、适用政策与银行营业日 → 查看当时已知状态 → 设置资金、到期与资源约束 → 比较催办、补件、次序和可行改期 → 记录决定。系统不自动催款或付款。</w:t>
      </w:r>
    </w:p>
    <w:p>
      <w:pPr>
        <w:pStyle w:val="Heading2"/>
        <w:widowControl/>
      </w:pPr>
      <w:r>
        <w:t>J3 服务流程负责人</w:t>
      </w:r>
    </w:p>
    <w:p>
      <w:pPr>
        <w:widowControl/>
      </w:pPr>
      <w:r>
        <w:t>选择请求／流程 → 核查步骤依赖、岗位能力／可用性、现场通行与经营日历 → 查看服务承诺／处理时限及暂停／取消规则 → 定位瓶颈 → 比较合资格改派、排程和升级 → 查看其他任务的挤占 → 保存决定。未完成结果保留删失，不把当前状态当最终结果。</w:t>
      </w:r>
    </w:p>
    <w:p>
      <w:pPr>
        <w:pStyle w:val="Heading2"/>
        <w:widowControl/>
      </w:pPr>
      <w:r>
        <w:t>J4 资源管理负责人</w:t>
      </w:r>
    </w:p>
    <w:p>
      <w:pPr>
        <w:widowControl/>
      </w:pPr>
      <w:r>
        <w:t>选择能源、食物或资源 → 核查消耗、产出、损耗与供应／冷链能力 → 检查运输暴露、天气、营业／节庆需求和政策 → 设置产能、保质期、安全与服务约束 → 比较批量、周转、节能排程或运输替代 → 查看减损及其他方向影响 → 人工决定。仅价格资料不能证明能耗浪费。</w:t>
      </w:r>
    </w:p>
    <w:p>
      <w:pPr>
        <w:pStyle w:val="Heading2"/>
        <w:widowControl/>
      </w:pPr>
      <w:r>
        <w:t>跨问题的业务连接与取舍</w:t>
      </w:r>
    </w:p>
    <w:p>
      <w:pPr>
        <w:widowControl/>
      </w:pPr>
      <w:r>
        <w:t>四类问题只通过可靠业务主键或有证据的关系连接，例如 order_id、purchase_order_id、invoice_id、task_id、SKU／resource_id 与稳定主体标识。仅同名、同时发生或新闻同现不能创建业务依赖。链路缺失时显示“尚未建立关系”，允许用户核查。</w:t>
      </w:r>
    </w:p>
    <w:p>
      <w:pPr>
        <w:widowControl/>
      </w:pPr>
      <w:r>
        <w:t>行动比较必须呈现共同预算与取舍：加急补货可能增加现金占用；延后处理付款可能影响供应；改派人员可能转移服务延误风险；较大批量可能增加库存或报废。上述是待验证的情景机制，不能直接充当已观测因果结论。相同资源不能在多个方案中重复分配。</w:t>
      </w:r>
    </w:p>
    <w:p>
      <w:pPr>
        <w:pStyle w:val="Heading2"/>
        <w:widowControl/>
      </w:pPr>
      <w:r>
        <w:t>每次决定都保留的上下文</w:t>
      </w:r>
    </w:p>
    <w:p>
      <w:pPr>
        <w:widowControl/>
      </w:pPr>
      <w:r>
        <w:t>记录问题范围、业务对象、证据版本、主体与关系、knowledge_as_of、世界时间、目标与权重、硬约束、候选行动、基线、未知和假设。用户能核查来源、更换条件、比较方案，并否决系统建议。数据不足时给出缺失字段和可继续的有限路径。</w:t>
      </w:r>
    </w:p>
    <w:p>
      <w:pPr>
        <w:pStyle w:val="Heading1"/>
        <w:pageBreakBefore/>
        <w:widowControl/>
      </w:pPr>
      <w:r>
        <w:t>5 情报与正式产品工作台</w:t>
      </w:r>
    </w:p>
    <w:p>
      <w:pPr>
        <w:pStyle w:val="Heading2"/>
        <w:widowControl/>
      </w:pPr>
      <w:r>
        <w:t>FR05 证据采集筛选组织与 RAG</w:t>
      </w:r>
    </w:p>
    <w:p>
      <w:pPr>
        <w:widowControl/>
      </w:pPr>
      <w:r>
        <w:t>多源资料必须保留来源、定位、发布／获取时间、版本、许可与使用限制。检索、摘要和解释必须附可定位证据、适用时点、冲突与缺口。事实、来源观点、机器推断、预测与未知分开；没有找到不等于不存在。运营记录也要记录来源与质量，不能因其来自用户而免于核查。</w:t>
      </w:r>
    </w:p>
    <w:p>
      <w:pPr>
        <w:widowControl/>
      </w:pPr>
      <w:r>
        <w:t>交易对手历史、实际依赖／暴露与外部经营条件是核心状态输入，不仅是阅读背景。通过来源支持的主体、业务、空间及时间映射连接内部记录；一国 GDP、新闻数量或政治事件仍不能单独证明某个订单、发票或任务的影响。</w:t>
      </w:r>
    </w:p>
    <w:p>
      <w:pPr>
        <w:pStyle w:val="Heading2"/>
        <w:widowControl/>
      </w:pPr>
      <w:r>
        <w:t>FR06 四类信息页面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tblHeader w:val="true"/>
          <w:cantSplit/>
        </w:trPr>
        <w:tc>
          <w:tcPr>
            <w:tcW w:type="dxa" w:w="1872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页面名称</w:t>
            </w:r>
          </w:p>
        </w:tc>
        <w:tc>
          <w:tcPr>
            <w:tcW w:type="dxa" w:w="8352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/>
                <w:color w:val="FFFFFF"/>
                <w:sz w:val="19"/>
              </w:rPr>
              <w:t>内容与边界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基础资料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主体身份、分类、稳定属性、别名、关系与来源；歧义可见。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状态与数值</w:t>
            </w:r>
          </w:p>
        </w:tc>
        <w:tc>
          <w:tcPr>
            <w:tcW w:type="dxa" w:w="8352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库存、金额、时长、消耗等观测值；保留单位、频率、窗口和质量。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事件与变化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动作、变更、公告、实施、撤回及时间线；区分多种时钟。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解释与预期</w:t>
            </w:r>
          </w:p>
        </w:tc>
        <w:tc>
          <w:tcPr>
            <w:tcW w:type="dxa" w:w="8352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解释、观点、预测、情景、策略、假设、置信与适用范围；不写成事实。</w:t>
            </w:r>
          </w:p>
        </w:tc>
      </w:tr>
    </w:tbl>
    <w:p>
      <w:pPr>
        <w:widowControl/>
      </w:pPr>
      <w:r/>
    </w:p>
    <w:p>
      <w:pPr>
        <w:widowControl/>
      </w:pPr>
      <w:r>
        <w:t>这四页是信息分类，与四类经营问题不同。统一风险／决策工作区可按四类问题筛选，复用上述资料与证据视图，无需扩展为八套彼此孤立的页面。查询、地区、时间与证据上下文共享；分页、返回位置和焦点须保留。表格、时间线、关系结构和文本阅读须按来源及任务选择。</w:t>
      </w:r>
    </w:p>
    <w:p>
      <w:pPr>
        <w:widowControl/>
      </w:pPr>
      <w:r>
        <w:t>正式前端采用克制的虚实解构黑白灰与精密结构线，服务阅读、核查和比较。视觉验收以信息层级、操作可理解性和来源可达性为主；不采用 PPT、游戏界面或电影式地球作为主要交互。</w:t>
      </w:r>
    </w:p>
    <w:p>
      <w:pPr>
        <w:pStyle w:val="Heading2"/>
        <w:widowControl/>
      </w:pPr>
      <w:r>
        <w:t>全球情报与历史覆盖目标</w:t>
      </w:r>
    </w:p>
    <w:p>
      <w:pPr>
        <w:widowControl/>
      </w:pPr>
      <w:r>
        <w:t>覆盖目标保留全球国家、主要政治组织、主要企业、中小企业趋势及独角兽，领域包括法律、政策、文化、汇率、期货、经济、就业、市场与人才。它们是四类经营问题可用的情报维度，不是新的主用户或另一个产品。</w:t>
      </w:r>
    </w:p>
    <w:p>
      <w:pPr>
        <w:widowControl/>
      </w:pPr>
      <w:r>
        <w:t>须公开主体类别 × 地区 × 领域 × 信息类型 × 年份 × 来源质量的覆盖矩阵，标明已验收、部分覆盖和缺口。最低历史范围是 2020 年至今，优先向 1990 年延伸。最低时间范围不等于声称每个主体和领域都有完整记录；扩展路线必须显式保留，不能以现有数据集代替目标范围。</w:t>
      </w:r>
    </w:p>
    <w:p>
      <w:pPr>
        <w:pStyle w:val="Heading1"/>
        <w:pageBreakBefore/>
        <w:widowControl/>
      </w:pPr>
      <w:r>
        <w:t>6 实体轴 时间轴与历史标签</w:t>
      </w:r>
    </w:p>
    <w:p>
      <w:pPr>
        <w:pStyle w:val="Heading2"/>
        <w:widowControl/>
      </w:pPr>
      <w:r>
        <w:t>FR07 自动主体消歧与证据关系融合</w:t>
      </w:r>
    </w:p>
    <w:p>
      <w:pPr>
        <w:widowControl/>
      </w:pPr>
      <w:r>
        <w:t>企业、政府、政党及国际组织使用稳定 entity_id，保存带有效期的名称、别名、外部标识、辖区和组织变化。消歧输出候选、证据与歧义状态；证据不足时拒绝强制合并。须测试同名、跨语种、改名、子母公司、政府任期、组织拆并与继承。</w:t>
      </w:r>
    </w:p>
    <w:p>
      <w:pPr>
        <w:widowControl/>
      </w:pPr>
      <w:r>
        <w:t>关系须有类型、方向、有效区间、证据及冲突状态。“同现”“所有权”“供应”“经过路线”“依赖收货／银行日历”不能混用。路线节点、场所、交易对手及岗位资源须稳定标识；暴露引用真实业务 ID 和分段／时间窗口。来源明示与推断分开，合并、拆分或修订留痕；新闻不生成业务主键。</w:t>
      </w:r>
    </w:p>
    <w:p>
      <w:pPr>
        <w:pStyle w:val="Heading2"/>
        <w:widowControl/>
      </w:pPr>
      <w:r>
        <w:t>FR08 多时钟 as of 状态重建与回放</w:t>
      </w:r>
    </w:p>
    <w:p>
      <w:pPr>
        <w:widowControl/>
      </w:pPr>
      <w:r>
        <w:t>分别保存事件、影响、发布、获取、有效与修订时间；未知保留为空，记录粒度和来源时区。事件／有效时间可为区间，不能用一个日期替代全部时钟。查询同时指定 knowledge_as_of 与 world_time／区间。</w:t>
      </w:r>
    </w:p>
    <w:p>
      <w:pPr>
        <w:widowControl/>
      </w:pPr>
      <w:r>
        <w:t>knowledge_mode 必须明确：public_known 使用可证明的历史公开可用时间；system_known 使用系统实际 acquired_at。今天获取的旧文章不能伪称当年系统已持有。只有发布日期、无法证明历史可用性的记录标为 availability_proxy，严格回测排除或单独报告。</w:t>
      </w:r>
    </w:p>
    <w:p>
      <w:pPr>
        <w:widowControl/>
      </w:pPr>
      <w:r>
        <w:t>状态只使用截止 knowledge_as_of 可用的版本，并校验 world_time 时的实际有效性：路线条件、政策生效、经营／银行日历、对手历史与岗位资质均适用。后来的修订、撤回及结果不能进入当时输入。回放显示变化、冲突、适用性和缺口，可在冻结快照上复核。</w:t>
      </w:r>
    </w:p>
    <w:p>
      <w:pPr>
        <w:pStyle w:val="Heading2"/>
        <w:widowControl/>
      </w:pPr>
      <w:r>
        <w:t>FR09 环境 主体动作 结果记录</w:t>
      </w:r>
    </w:p>
    <w:p>
      <w:pPr>
        <w:widowControl/>
      </w:pPr>
      <w:r>
        <w:t>数据集须系统收集企业、政府、政党与国际组织的历史环境、主体动作和结果，支撑世界状态与决策学习，不以少数案例代替。各业务方向还须保留对应订单、单据、任务或资源记录及其映射。</w:t>
      </w:r>
    </w:p>
    <w:p>
      <w:pPr>
        <w:widowControl/>
      </w:pPr>
      <w:r>
        <w:t>动作至少区分 announced、implemented、reversed 与 unknown；结果至少区分 observed、estimated、proxy 与 unknown。每项结果记录指标、单位、测量窗口、观察结束、修订和删失。实际付款／收款、任务完成、物理消耗等必须使用相应观测，不能用邻近字段代替。</w:t>
      </w:r>
    </w:p>
    <w:p>
      <w:pPr>
        <w:widowControl/>
      </w:pPr>
      <w:r>
        <w:t>缺少结果不是负面结果；事件之后发生不证明由该动作造成。标签须注明因果地位与使用限制，禁止从简单事后关联直接赋予因果奖励。历史环境只使用当时已知资料，跨主体／集团分组并按时间隔离训练与测试。</w:t>
      </w:r>
    </w:p>
    <w:p>
      <w:pPr>
        <w:pStyle w:val="Heading2"/>
        <w:widowControl/>
      </w:pPr>
      <w:r>
        <w:t>观察事实与反事实分离</w:t>
      </w:r>
    </w:p>
    <w:p>
      <w:pPr>
        <w:widowControl/>
      </w:pPr>
      <w:r>
        <w:t>历史已观测结果、估计／代理标签及反事实仿真输出使用不同标记。若只有假设转移模型，输出只能解释为该模型下的情景结果。资料回放、RAG 正确或界面可用均不能独立证明未来预测或 RL 策略质量。</w:t>
      </w:r>
    </w:p>
    <w:p>
      <w:pPr>
        <w:pStyle w:val="Heading1"/>
        <w:pageBreakBefore/>
        <w:widowControl/>
      </w:pPr>
      <w:r>
        <w:t>7 岗位能力与运行安全</w:t>
      </w:r>
    </w:p>
    <w:p>
      <w:pPr>
        <w:pStyle w:val="Heading2"/>
        <w:widowControl/>
      </w:pPr>
      <w:r>
        <w:t>FR17 管理者与工作人员的岗位约束</w:t>
      </w:r>
    </w:p>
    <w:p>
      <w:pPr>
        <w:widowControl/>
      </w:pPr>
      <w:r>
        <w:t>对管理者和实际执行工作的员工均使用岗位相关能力与可用性：合法授权提供的资质、培训、执照、岗位／设备操作权限、工作记录、班次、休息及可用时段。用于核查能否安全、合资格地执行某项任务，而非推断人格、私人可靠性或心理危险性。缺失记录不等于不合格；不可确定时保留不足状态。</w:t>
      </w:r>
    </w:p>
    <w:p>
      <w:pPr>
        <w:pStyle w:val="Heading2"/>
        <w:widowControl/>
      </w:pPr>
      <w:r>
        <w:t>工作事件与核查状态</w:t>
      </w:r>
    </w:p>
    <w:p>
      <w:pPr>
        <w:widowControl/>
      </w:pPr>
      <w:r>
        <w:t>仅处理合法授权且与岗位相关的工作事件，记录来源、日期、角色、调查状态、认定与处理／解决结果。单方指控、正在调查和已确认事实必须分开；禁止把未经核实“黑历史”变成个人评分或黑名单。私生活、家庭／朋友状况或私人社交关系不作为工作能力或安全标签。</w:t>
      </w:r>
    </w:p>
    <w:p>
      <w:pPr>
        <w:pStyle w:val="Heading2"/>
        <w:widowControl/>
      </w:pPr>
      <w:r>
        <w:t>以运行控制处理安全风险</w:t>
      </w:r>
    </w:p>
    <w:p>
      <w:pPr>
        <w:widowControl/>
      </w:pPr>
      <w:r>
        <w:t>可支持班次／休息与疲劳约束、岗位和权限核查、职责分离、双人复核、事件上报、应急替补及资源备份。建议需说明具体任务、约束与事实依据。不得由相关性或负面故事推断某个人会犯罪、酗酒、伤害他人或造成事故。</w:t>
      </w:r>
    </w:p>
    <w:p>
      <w:pPr>
        <w:pStyle w:val="Heading2"/>
        <w:widowControl/>
      </w:pPr>
      <w:r>
        <w:t>健康与敏感画像的明确边界</w:t>
      </w:r>
    </w:p>
    <w:p>
      <w:pPr>
        <w:widowControl/>
      </w:pPr>
      <w:r>
        <w:t>本产品不设计家庭／朋友／社交媒体的心理状态或危险性推断，不采集这些信息形成员工评价、私人可靠性分数、黑名单或自动就业决定。健康、家庭及私人关系标签不进入 RL 状态或员工评价；人工复核也不能使这些推断成为可接受功能。</w:t>
      </w:r>
    </w:p>
    <w:p>
      <w:pPr>
        <w:widowControl/>
      </w:pPr>
      <w:r>
        <w:t>岗位医学适任判断只能由有资格且获授权的专业人员处理。若合法提供必要岗位限制，本产品仅接收最小必要的任务／时段可用性限制，不接收原始诊断或私人原因；优化服务只见运行约束，不见健康标签。产品不宣称已符合全球全部劳动、隐私或行业法规。</w:t>
      </w:r>
    </w:p>
    <w:p>
      <w:pPr>
        <w:pStyle w:val="Heading2"/>
        <w:widowControl/>
      </w:pPr>
      <w:r>
        <w:t>输入及结果契约</w:t>
      </w:r>
    </w:p>
    <w:p>
      <w:pPr>
        <w:widowControl/>
      </w:pPr>
      <w:r>
        <w:t>在既有任务／资源对象中增加 role_id、所需资质／授权、证据有效期、可用时段、班次休息、必要运行限制与复核状态。个人映射及事件依据按最小权限隔离；给 WorldState／RL 的输入仅保留任务相关能力、可用性及约束。结果只描述某动作的可行／不可行及需补证事项，不输出人员道德或危险性排名。</w:t>
      </w:r>
    </w:p>
    <w:p>
      <w:pPr>
        <w:pStyle w:val="Heading2"/>
        <w:widowControl/>
      </w:pPr>
      <w:r>
        <w:t>AC10 岗位与敏感字段边界</w:t>
      </w:r>
    </w:p>
    <w:p>
      <w:pPr>
        <w:widowControl/>
      </w:pPr>
      <w:r>
        <w:t>验证无有效授权不能分配受限任务、休息或双人复核约束不被绕过、资质修订符合 as-of 语义。敏感心理、健康、家庭和社交关系标签须被拒绝进入状态／评价；合法必要限制以不带诊断及私人原因的运行字段表达。错误或指控不自动触发招聘、辞退、晋升或其他就业决定。</w:t>
      </w:r>
    </w:p>
    <w:p>
      <w:pPr>
        <w:pStyle w:val="Heading1"/>
        <w:pageBreakBefore/>
        <w:widowControl/>
      </w:pPr>
      <w:r>
        <w:t>8 风险 情景与受约束决策</w:t>
      </w:r>
    </w:p>
    <w:p>
      <w:pPr>
        <w:pStyle w:val="Heading2"/>
        <w:widowControl/>
      </w:pPr>
      <w:r>
        <w:t>FR10 提前发现并解释经营风险</w:t>
      </w:r>
    </w:p>
    <w:p>
      <w:pPr>
        <w:widowControl/>
      </w:pPr>
      <w:r>
        <w:t>每条风险记录问题类别、受影响业务对象／主体、指标、证据、首次可发现时间、预测窗口、可能影响、置信与触发条件。明确分开 observation 已观测状态、anomaly 异常、prediction 预测与 recommendation 建议；来源意见另行标记。优先级依据业务重要性、可信性和可行动性；损失模型缺失时只展示线索，不虚构金额。</w:t>
      </w:r>
    </w:p>
    <w:p>
      <w:pPr>
        <w:widowControl/>
      </w:pPr>
      <w:r>
        <w:t>系统说明依据、缺失与失效条件；经营输入、暴露、条件适用性或标签不足时返回限定的 insufficient_data，不冒充质量达标。跨问题传播须沿已验证业务、路线与时间依赖。国家抗议不等于路线关闭，路线关闭也不自动证明暴力、盗窃或最终延误。</w:t>
      </w:r>
    </w:p>
    <w:p>
      <w:pPr>
        <w:pStyle w:val="Heading2"/>
        <w:widowControl/>
      </w:pPr>
      <w:r>
        <w:t>FR11 同一状态下比较行动与取舍</w:t>
      </w:r>
    </w:p>
    <w:p>
      <w:pPr>
        <w:widowControl/>
      </w:pPr>
      <w:r>
        <w:t>输入固定 as-of 的四层状态、岗位运行约束、目标、动作与预算；输出收益／损失、成本、可行性、跨问题影响、假设和敏感性。动作包括改道、改期、换方式、缓冲、替代对手、处理次序与合资格改派。保留不行动／规则基线及适用的简单规划；条件改变后重算。</w:t>
      </w:r>
    </w:p>
    <w:p>
      <w:pPr>
        <w:widowControl/>
      </w:pPr>
      <w:r>
        <w:t>不允许库存、资金、人员或设备资源重复使用；不能推荐违反合同、容量、截止时间或安全要求的动作。不可行、数据不足或模型不支持的动作返回明确状态。观察事实与反事实结果分别显示，历史模拟不得宣传为已验证未来预测。</w:t>
      </w:r>
    </w:p>
    <w:p>
      <w:pPr>
        <w:pStyle w:val="Heading2"/>
        <w:widowControl/>
      </w:pPr>
      <w:r>
        <w:t>FR12 Felix 的 RL 沙盘与策略服务</w:t>
      </w:r>
    </w:p>
    <w:p>
      <w:pPr>
        <w:widowControl/>
      </w:pPr>
      <w:r>
        <w:t>RL 是已选路线，必须明确状态 S、动作 A、转移 T、奖励 R、硬约束 C、终止与可行性。S 包含冻结的业务、对手能力／历史、路线暴露、经营条件和岗位运行字段；不含心理、健康、家庭或私人关系标签。T 区分观测规律与情景假设；R 的单位／权重对应经营目标；C 包含通行、生效规则、日历、容量、资金、资质、休息与必要复核。</w:t>
      </w:r>
    </w:p>
    <w:p>
      <w:pPr>
        <w:widowControl/>
      </w:pPr>
      <w:r>
        <w:t>服务必须说明训练动作支持范围、行为数据缺失、分布偏移、转移假设与奖励代理。先验证不行动、规则或简单规划，以及仿真可信性，再评估 RL 的增益。现金、履约、服务承诺／处理时限和浪费的权重取舍必须可审阅，不能把任意分数包装成业务收益。</w:t>
      </w:r>
    </w:p>
    <w:p>
      <w:pPr>
        <w:widowControl/>
      </w:pPr>
      <w:r>
        <w:t>历史离线评估和仿真须报告支持度、不可识别性及不确定性。不具备可信反事实评估时，只报告模拟结果。没有足够动作／结果数据时保留可使用的基线比较，明确 RL 暂不适用。</w:t>
      </w:r>
    </w:p>
    <w:p>
      <w:pPr>
        <w:pStyle w:val="Heading2"/>
        <w:widowControl/>
      </w:pPr>
      <w:r>
        <w:t>FR13 人工选择与可复查决定</w:t>
      </w:r>
    </w:p>
    <w:p>
      <w:pPr>
        <w:widowControl/>
      </w:pPr>
      <w:r>
        <w:t>用户可以更换条件、查看基线、暂缓或否决建议。每次选择记录证据快照、对象与状态版本、目标、约束、候选行动、策略版本和假设。当前产品的决策闭环止于人的选择与依据保存，不自动执行真实下单、付款、交易、政策发布或第三方沟通。</w:t>
      </w:r>
    </w:p>
    <w:p>
      <w:pPr>
        <w:pStyle w:val="Heading2"/>
        <w:widowControl/>
      </w:pPr>
      <w:r>
        <w:t>不能用展示代替验证</w:t>
      </w:r>
    </w:p>
    <w:p>
      <w:pPr>
        <w:widowControl/>
      </w:pPr>
      <w:r>
        <w:t>来源可查证明证据链；实体／时间测试证明结构可信；风险回测证明有限范围内的预警表现；策略评估证明有限假设下的比较结果。每一种结论都必须对应自己的验证证据，不能互相替代。</w:t>
      </w:r>
    </w:p>
    <w:p>
      <w:pPr>
        <w:pStyle w:val="Heading1"/>
        <w:pageBreakBefore/>
        <w:widowControl/>
      </w:pPr>
      <w:r>
        <w:t>9 四个后端模块与拟议契约</w:t>
      </w:r>
    </w:p>
    <w:p>
      <w:pPr>
        <w:widowControl/>
      </w:pPr>
      <w:r>
        <w:t>本规格 v0.3 拟议使用契约版本 0.2，承接前稿契约 0.1，增加核心经营条件与运行资源字段；版本号独立，不声称已有 API。四模块支撑四类问题，共用正式前端。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4104"/>
        <w:gridCol w:w="4752"/>
      </w:tblGrid>
      <w:tr>
        <w:trPr>
          <w:tblHeader w:val="true"/>
          <w:cantSplit/>
        </w:trPr>
        <w:tc>
          <w:tcPr>
            <w:tcW w:type="dxa" w:w="1368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104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/>
                <w:color w:val="FFFFFF"/>
                <w:sz w:val="19"/>
              </w:rPr>
              <w:t>职责与输出</w:t>
            </w:r>
          </w:p>
        </w:tc>
        <w:tc>
          <w:tcPr>
            <w:tcW w:type="dxa" w:w="4752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/>
                <w:color w:val="FFFFFF"/>
                <w:sz w:val="19"/>
              </w:rPr>
              <w:t>拟议服务调用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M1 情报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采集／筛选／组织／RAG；Evidence、Claim 与覆盖／质量信息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query_evidence(query, filters, knowledge_as_of) → 分页证据与声明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M2 实体</w:t>
            </w:r>
          </w:p>
        </w:tc>
        <w:tc>
          <w:tcPr>
            <w:tcW w:type="dxa" w:w="4104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自动消歧与证据关系融合；Entity、Relation、歧义与冲突</w:t>
            </w:r>
          </w:p>
        </w:tc>
        <w:tc>
          <w:tcPr>
            <w:tcW w:type="dxa" w:w="4752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resolve_entities(mentions, knowledge_as_of)；fuse_relations(claim_refs)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M3 时间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历史 as-of 世界状态、环境动作结果与回放；WorldState、EAORecord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reconstruct_state(scope, knowledge_as_of, world_time, knowledge_mode)；replay(interval)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M4 决策</w:t>
            </w:r>
          </w:p>
        </w:tc>
        <w:tc>
          <w:tcPr>
            <w:tcW w:type="dxa" w:w="4104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基线／情景／RL 策略比较；ScenarioRun、PolicyComparison</w:t>
            </w:r>
          </w:p>
        </w:tc>
        <w:tc>
          <w:tcPr>
            <w:tcW w:type="dxa" w:w="4752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compare_policies(state_ref, objectives, constraints, actions)</w:t>
            </w:r>
          </w:p>
        </w:tc>
      </w:tr>
    </w:tbl>
    <w:p>
      <w:pPr>
        <w:widowControl/>
      </w:pPr>
      <w:r/>
    </w:p>
    <w:p>
      <w:pPr>
        <w:pStyle w:val="Heading2"/>
        <w:widowControl/>
      </w:pPr>
      <w:r>
        <w:t>公共信封与对象标识</w:t>
      </w:r>
    </w:p>
    <w:p>
      <w:pPr>
        <w:widowControl/>
      </w:pPr>
      <w:r>
        <w:t>信封包括 schema_version、request_id、input_refs、knowledge_as_of、world_time、knowledge_mode、data_revision、status、warnings，不使用模糊 as_of。状态为 ok、partial、insufficient_data、unsupported；保留单位、时区与窗口，未知不造默认值。</w:t>
      </w:r>
    </w:p>
    <w:p>
      <w:pPr>
        <w:widowControl/>
      </w:pPr>
      <w:r>
        <w:t>稳定标识包括 evidence_id、claim_id、entity_id、relation_id、state_id、record_id、run_id、comparison_id，以及已有的 order_id、purchase_order_id、invoice_id、task_id、resource_id。引用必须可解析到具体版本；不能按显示名称关联业务。</w:t>
      </w:r>
    </w:p>
    <w:p>
      <w:pPr>
        <w:pStyle w:val="Heading2"/>
        <w:widowControl/>
      </w:pPr>
      <w:r>
        <w:t>最小对象字段</w:t>
      </w:r>
    </w:p>
    <w:p>
      <w:pPr>
        <w:widowControl/>
      </w:pPr>
      <w:r>
        <w:t>Evidence／Claim 保留来源、定位、多时钟、可用性、权利、断言类型与证据。Entity／Relation 保留标识、类型、有效期及冲突。新增最小对象复用同一证据／时间信封：Route／RouteLeg 包含起终点／节点、模式／承运商、计划时段及替代；Exposure 包含业务引用、依赖引用、暴露窗口与映射证据。</w:t>
      </w:r>
    </w:p>
    <w:p>
      <w:pPr>
        <w:widowControl/>
      </w:pPr>
      <w:r>
        <w:t>OperationalCondition：条件类型、空间／主体范围、生效区间、适用规则、观测／预测／公告状态、证据及不确定性。CounterpartyHistory：主体及角色、承诺／义务、时期、指控／争议／核实状态、结果／解决情况、样本分母与证据。岗位能力／可用性扩展既有资源对象，不另建私人画像接口。</w:t>
      </w:r>
    </w:p>
    <w:p>
      <w:pPr>
        <w:widowControl/>
      </w:pPr>
      <w:r>
        <w:t>WorldState 引用业务、主体、路线／条件／暴露、对手历史及最小岗位约束，保留双时点／知识模式、适用性、缺口与修订。EAORecord 保留环境引用、主体动作、多时钟、结果单位／窗口、标签状态与删失。</w:t>
      </w:r>
    </w:p>
    <w:p>
      <w:pPr>
        <w:widowControl/>
      </w:pPr>
      <w:r>
        <w:t>ScenarioRun：state_ref、动作集、目标、约束、假设、模型版本、随机种子与输出。PolicyComparison：运行与基线引用、指标、单位、收益／损失范围、约束检查、适用范围和不确定性。</w:t>
      </w:r>
    </w:p>
    <w:p>
      <w:pPr>
        <w:pStyle w:val="Heading2"/>
        <w:widowControl/>
      </w:pPr>
      <w:r>
        <w:t>独立开发与集成规则</w:t>
      </w:r>
    </w:p>
    <w:p>
      <w:pPr>
        <w:widowControl/>
      </w:pPr>
      <w:r>
        <w:t>先冻结契约及四方向代表性 fixture，各模块可使用契约样本并行开发。fixture 标记为样本，不能作为真实经营结果展示。所有接口变更版本化，提供契约测试与可运行示例；共同核查 ID、时间、单位、错误及缺失语义。前端按模块状态渐进接入，服务失败仍能查看证据和基线。</w:t>
      </w:r>
    </w:p>
    <w:p>
      <w:pPr>
        <w:pStyle w:val="Heading1"/>
        <w:pageBreakBefore/>
        <w:widowControl/>
      </w:pPr>
      <w:r>
        <w:t>10 验收 基线与完整性门槛</w:t>
      </w:r>
    </w:p>
    <w:p>
      <w:pPr>
        <w:widowControl/>
      </w:pPr>
      <w:r>
        <w:t>验收分为必须通过的完整性／功能门槛，以及待评审的质量提议。以下是测量设计，不是已实现结果。先冻结测试数据、规则、时间截点与基线；每次报告样本量、分组、置信区间和失败例。合成数据可证明限定的功能路径，不能替代真实预警／经营收益验证；缺输入或标签时质量验收为 insufficient_data。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5184"/>
        <w:gridCol w:w="3672"/>
      </w:tblGrid>
      <w:tr>
        <w:trPr>
          <w:tblHeader w:val="true"/>
          <w:cantSplit/>
        </w:trPr>
        <w:tc>
          <w:tcPr>
            <w:tcW w:type="dxa" w:w="1368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/>
                <w:color w:val="FFFFFF"/>
                <w:sz w:val="19"/>
              </w:rPr>
              <w:t>验收</w:t>
            </w:r>
          </w:p>
        </w:tc>
        <w:tc>
          <w:tcPr>
            <w:tcW w:type="dxa" w:w="5184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/>
                <w:color w:val="FFFFFF"/>
                <w:sz w:val="19"/>
              </w:rPr>
              <w:t>测量与基线</w:t>
            </w:r>
          </w:p>
        </w:tc>
        <w:tc>
          <w:tcPr>
            <w:tcW w:type="dxa" w:w="3672"/>
            <w:vAlign w:val="center"/>
            <w:shd w:fill="404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/>
                <w:color w:val="FFFFFF"/>
                <w:sz w:val="19"/>
              </w:rPr>
              <w:t>通过口径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AC01 供应履约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缺货误报／漏报、预警提前量、准时履约率、缺货量、库存占用与总成本；对比不行动及规则补货。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完整订单链可核查；库存／容量约束通过；收益结论注明真实观测或模拟。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AC02 单据回款</w:t>
            </w:r>
          </w:p>
        </w:tc>
        <w:tc>
          <w:tcPr>
            <w:tcW w:type="dxa" w:w="5184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逾期／阻塞识别、处理时长、到期未付／未收、现金峰值缺口；对比到期排序及固定处理规则。</w:t>
            </w:r>
          </w:p>
        </w:tc>
        <w:tc>
          <w:tcPr>
            <w:tcW w:type="dxa" w:w="3672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单据／审批链可追溯；实际支付语义正确；未观测与未付款分开。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AC03 服务流程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正式 SLA 违约／内部处理超时、等待与完成时长、超时量、资源占用；对比 FIFO／现有排程规则。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服务承诺／处理时限的计时可复核；依赖及资源可行；取消、暂停与删失不误标失败。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  <w:jc w:val="center"/>
            </w:pPr>
            <w:r>
              <w:rPr>
                <w:b w:val="0"/>
                <w:color w:val="000000"/>
                <w:sz w:val="19"/>
              </w:rPr>
              <w:t>AC04 经营浪费</w:t>
            </w:r>
          </w:p>
        </w:tc>
        <w:tc>
          <w:tcPr>
            <w:tcW w:type="dxa" w:w="5184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单位产出耗能、损耗量／率、报废和费用；对比固定批量或现行资源规则。</w:t>
            </w:r>
          </w:p>
        </w:tc>
        <w:tc>
          <w:tcPr>
            <w:tcW w:type="dxa" w:w="3672"/>
            <w:vAlign w:val="center"/>
            <w:shd w:fill="F5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90" w:lineRule="exact"/>
            </w:pPr>
            <w:r>
              <w:rPr>
                <w:b w:val="0"/>
                <w:color w:val="000000"/>
                <w:sz w:val="19"/>
              </w:rPr>
              <w:t>至少一类实质浪费全链路；消耗／价格分离；减损动作及取舍可查看。</w:t>
            </w:r>
          </w:p>
        </w:tc>
      </w:tr>
    </w:tbl>
    <w:p>
      <w:pPr>
        <w:widowControl/>
      </w:pPr>
      <w:r/>
    </w:p>
    <w:p>
      <w:pPr>
        <w:widowControl/>
      </w:pPr>
      <w:r>
        <w:t>质量提议：同留出集、预算和约束下，成本加权损失不劣于基线；声称改善须报告差值及 95% 置信区间，跨零时不宣称已证明增益。业务成本与误报预算按主案例定标；小样本／合成数据只支持限定功能或仿真结论。</w:t>
      </w:r>
    </w:p>
    <w:p>
      <w:pPr>
        <w:pStyle w:val="Heading2"/>
        <w:widowControl/>
      </w:pPr>
      <w:r>
        <w:t>AC05 证据与结果完整性</w:t>
      </w:r>
    </w:p>
    <w:p>
      <w:pPr>
        <w:widowControl/>
      </w:pPr>
      <w:r>
        <w:t>重要事实必须 100% 定位到证据版本，无来源事实零容忍。结果有类型、单位、窗口及观察状态；缺失不作负例，事后关联不作因果奖励。</w:t>
      </w:r>
    </w:p>
    <w:p>
      <w:pPr>
        <w:pStyle w:val="Heading2"/>
        <w:widowControl/>
      </w:pPr>
      <w:r>
        <w:t>AC06 实体与时间可信性</w:t>
      </w:r>
    </w:p>
    <w:p>
      <w:pPr>
        <w:widowControl/>
      </w:pPr>
      <w:r>
        <w:t>盲测同名、改名、跨语种、拆并／冲突，报告 precision／recall、误合并、关系支持与拒判覆盖，对比字符串基线。时序金样本／对抗修订未来泄漏为零，覆盖晚发布／获取、撤回、时区和日期区间。</w:t>
      </w:r>
    </w:p>
    <w:p>
      <w:pPr>
        <w:pStyle w:val="Heading2"/>
        <w:widowControl/>
      </w:pPr>
      <w:r>
        <w:t>AC07 预警与策略有效性</w:t>
      </w:r>
    </w:p>
    <w:p>
      <w:pPr>
        <w:widowControl/>
      </w:pPr>
      <w:r>
        <w:t>按主体／集团及时间隔离并滚动回测，防重复跨集。风险报告误报／漏报、提前量、校准与成本；策略对比不行动、规则、规划及 RL，报告收益分布、敏感性和支持度。硬约束违反为零，未验证仿真不作真实收益承诺。</w:t>
      </w:r>
    </w:p>
    <w:p>
      <w:pPr>
        <w:pStyle w:val="Heading2"/>
        <w:widowControl/>
      </w:pPr>
      <w:r>
        <w:t>AC08 可使用的一体化路径</w:t>
      </w:r>
    </w:p>
    <w:p>
      <w:pPr>
        <w:widowControl/>
      </w:pPr>
      <w:r>
        <w:t>前三方向走通证据 → 四层状态 → 风险 → 行动／基线 → 人工选择；第四有实质减损入口。分页／焦点正确，缺失可恢复。固定环境报告 p50／p95；普通查看 p95 ≤ 3 秒为提议，长任务有进度。</w:t>
      </w:r>
    </w:p>
    <w:p>
      <w:pPr>
        <w:pStyle w:val="Heading2"/>
        <w:widowControl/>
      </w:pPr>
      <w:r>
        <w:t>AC09 依赖 条件与历史适用性</w:t>
      </w:r>
    </w:p>
    <w:p>
      <w:pPr>
        <w:widowControl/>
      </w:pPr>
      <w:r>
        <w:t>测试路线／时段暴露、抗议／通行／暴力／盗窃的分离、政策／假日对业务及银行时钟的适用性、晚公布／修订泄漏。历史保留角色、状态、结果、时期与分母；无记录不输出“表现良好”。</w:t>
      </w:r>
    </w:p>
    <w:p>
      <w:pPr>
        <w:widowControl/>
      </w:pPr>
      <w:r>
        <w:t>AC10 岗位约束与敏感字段边界按第 7 节测试，不构成全球法律合规认证。</w:t>
      </w:r>
    </w:p>
    <w:p>
      <w:pPr>
        <w:pStyle w:val="Heading1"/>
        <w:pageBreakBefore/>
        <w:widowControl/>
      </w:pPr>
      <w:r>
        <w:t>11 安全 分阶段交付与批准项</w:t>
      </w:r>
    </w:p>
    <w:p>
      <w:pPr>
        <w:pStyle w:val="Heading2"/>
        <w:widowControl/>
      </w:pPr>
      <w:r>
        <w:t>FR14 数据权利 隐私与安全</w:t>
      </w:r>
    </w:p>
    <w:p>
      <w:pPr>
        <w:widowControl/>
      </w:pPr>
      <w:r>
        <w:t>按来源权限、许可与最小必要原则使用，保留限制及版本，不擅自公开受限资料。私有运营数据在授权范围内隔离访问、导出和删除，明确保留期限。减少个人信息，禁入凭据；外部内容不得改写指令或触发行动。竞赛原型仍须遵守这些边界。</w:t>
      </w:r>
    </w:p>
    <w:p>
      <w:pPr>
        <w:pStyle w:val="Heading2"/>
        <w:widowControl/>
      </w:pPr>
      <w:r>
        <w:t>FR15 可复现性</w:t>
      </w:r>
    </w:p>
    <w:p>
      <w:pPr>
        <w:widowControl/>
      </w:pPr>
      <w:r>
        <w:t>冻结数据、划分、配置、代码／模型版本、种子与运行记录，保留修订、缺失和删失，结果可复查。非确定输出报告容差；检索／界面不能替代预测／决策验证。</w:t>
      </w:r>
    </w:p>
    <w:p>
      <w:pPr>
        <w:pStyle w:val="Heading2"/>
        <w:widowControl/>
      </w:pPr>
      <w:r>
        <w:t>目标规格与竞赛可运行范围</w:t>
      </w:r>
    </w:p>
    <w:p>
      <w:pPr>
        <w:widowControl/>
      </w:pPr>
      <w:r>
        <w:t>S0 完整目标保留四方向、全球覆盖及实体／时间／决策能力，新增 FR 不等于即时派工。已确认先完善规格，再开发专为 hackathon 展示的产品；下述实际交付范围仍是待批准草案。审批前不上传 GitHub。</w:t>
      </w:r>
    </w:p>
    <w:p>
      <w:pPr>
        <w:widowControl/>
      </w:pPr>
      <w:r>
        <w:t>S1a 先做一条真实可运行的最小后端闭环：加载真实快照 → 检索 → 定位证据 → 分析与保存，配合正式可交互前端及限定情景比较。体现四层输入与必要岗位约束，缺失显式标记。S1b 仍以前三完整闭环、第四实质减损入口为竞赛基线目标，不以单方向代替。</w:t>
      </w:r>
    </w:p>
    <w:p>
      <w:pPr>
        <w:widowControl/>
      </w:pPr>
      <w:r>
        <w:t>S2／S3 目标能力逐步接入消歧／关系、历史重建／回放、覆盖与回测，以及验证后的 RL／敏感性报告。竞赛只对冻结主体、时期、数据与场景声明能力；预计算／样本须标明，不能伪装在线算法或已验证预测。全球与 1990 年扩展目标保留。</w:t>
      </w:r>
    </w:p>
    <w:p>
      <w:pPr>
        <w:widowControl/>
      </w:pPr>
      <w:r>
        <w:t>竞赛要求不包含全面实时采集、完整全球历史、生产高可用、企业部署和持续运维；基础权利、隐私、证据、时间与运行约束不能因演示而省略。高级服务未就绪时保留可用基线及不足状态。</w:t>
      </w:r>
    </w:p>
    <w:p>
      <w:pPr>
        <w:pStyle w:val="Heading2"/>
        <w:widowControl/>
      </w:pPr>
      <w:r>
        <w:t>需求推导后的协作边界提议</w:t>
      </w:r>
    </w:p>
    <w:p>
      <w:pPr>
        <w:widowControl/>
      </w:pPr>
      <w:r>
        <w:t>用户与助手负责 M1 情报及统一正式前端；Felix 负责 M4 RL 沙盘与策略服务；已确认加入的另外两位队友分别承担 M2 实体轴、M3 时间轴，姓名待补。这是供负责人确认的模块接口建议，尚不构成派工。各模块交付可调用服务、契约测试与固定示例，共用 ID、时间、单位和评测规则。</w:t>
      </w:r>
    </w:p>
    <w:p>
      <w:pPr>
        <w:pStyle w:val="Heading2"/>
        <w:widowControl/>
      </w:pPr>
      <w:r>
        <w:t>展示及范围边界</w:t>
      </w:r>
    </w:p>
    <w:p>
      <w:pPr>
        <w:widowControl/>
      </w:pPr>
      <w:r>
        <w:t>主演示以供应中断 → 履约为入口，用可核查 ID 关联路线暴露、经营条件、对手历史及单据／现金／流程取舍，另示食物减损与假日影响。可加合资格改派／休息约束，不评价私生活。法国抗议货运情景仅为假设 fixture；不拼接无关公开数据冒充同一公司。缺真实业务链时合成数据仅验证功能，不证明收益。展示基线与未知；Babel Street 仅参考。</w:t>
      </w:r>
    </w:p>
    <w:p>
      <w:pPr>
        <w:widowControl/>
      </w:pPr>
      <w:r>
        <w:t>非目标：自动执行真实经营动作、伪造完整全球历史、仅凭关联获得因果奖励、招募 beta 用户、另起品牌或照搬商业产品。</w:t>
      </w:r>
    </w:p>
    <w:p>
      <w:pPr>
        <w:pStyle w:val="Heading2"/>
        <w:widowControl/>
      </w:pPr>
      <w:r>
        <w:t>负责人需要确认的决定</w:t>
      </w:r>
    </w:p>
    <w:p>
      <w:pPr>
        <w:widowControl/>
      </w:pPr>
      <w:r>
        <w:t>建议采用本稿四方向 PS 与目标用户，主路径为供应／单据／服务联动，第四先做食物批次。优先合法真实运营数据或真实公开基准；缺失跨业务链可用明确标记的合成 fixture 验证功能，不替代预测／收益验收。默认指标是履约延误、现金缺口、服务流程等待与报废量；金额需真实成本输入。</w:t>
      </w:r>
    </w:p>
    <w:p>
      <w:pPr>
        <w:widowControl/>
      </w:pPr>
      <w:r>
        <w:t>需冻结三项：竞赛数据／场景／约束；首阶段覆盖与全球／1990 年扩展次序；业务损失及质量预算。提议用案例主体与有证据关系冻结评测集，采用完整性门槛、基线不劣及 p95 提议；未定参数不作收益承诺。规格批准后才开发，不将评审建议自动派工。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负责人评审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T-Dormathon 产品规格评审稿    版本 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0" w:lineRule="exact"/>
    </w:pPr>
    <w:rPr>
      <w:rFonts w:ascii="Noto Sans CJK SC" w:hAnsi="Noto Sans CJK SC" w:eastAsia="Noto Sans CJK SC" w:cs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b w:val="0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b w:val="0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400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 w:line="340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80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ihackerdorm.com/events/dormathon-2026-malaysia-s-nationwide-hackathon-build-the-next-big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T-Dormathon 产品规格评审稿</dc:title>
  <dc:subject>四类经营问题驱动的产品需求与验收基线</dc:subject>
  <dc:creator>Taotern 团队</dc:creator>
  <cp:keywords>产品规格 负责人评审 Dormathon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