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Dormathon 讲者指南</w:t>
      </w:r>
    </w:p>
    <w:p>
      <w:pPr>
        <w:pStyle w:val="Subtitle"/>
      </w:pPr>
      <w:r>
        <w:t>Site v77 版  /  2026 年 10 月 10 日  /  中文排练备忘</w:t>
      </w:r>
    </w:p>
    <w:p>
      <w:r>
        <w:t>主演讲 3 分钟，问答 2 分钟。先讲真实事件，再讲明确的虚构业务暴露和延迟，随后展示同条件决策比较、模型更新和资源账本。不要把主线变成算法清单。v76 包独立保留备用。</w:t>
      </w:r>
    </w:p>
    <w:p>
      <w:pPr>
        <w:pStyle w:val="Heading2"/>
      </w:pPr>
      <w:r>
        <w:t>时间</w:t>
      </w:r>
    </w:p>
    <w:p>
      <w:r>
        <w:t>马来西亚时间：10 月 10 日 19:00 前准备好，20:00 复核；10 月 11 日 09:00 提交。</w:t>
      </w:r>
    </w:p>
    <w:p>
      <w:pPr>
        <w:pStyle w:val="Heading2"/>
      </w:pPr>
      <w:r>
        <w:t>六页主线</w:t>
      </w:r>
    </w:p>
    <w:p>
      <w:r>
        <w:t>第 1 页，00:00–00:15：重大新闻出来，哪张订单有暴露？什么响应值得付出成本？强调真实证据、明确假设、受限资源和新观察更新。</w:t>
        <w:br/>
        <w:t>第 2 页，00:15–00:50：美伊冲突与霍尔木兹航运扰动。10 月 EIA 描述部分流量和持续约束，不能说当下仍全面封锁。用户主动假设演示订单受影响，并额外延迟 3 天。</w:t>
        <w:br/>
        <w:t>第 3 页，00:50–01:35：同一七天情景下比较控制器、训练策略和搜索。此例 Q 新增模拟支出 MYR 140，仍有约 9 单位未满足需求；控制器保护更多服务，但花费更多。</w:t>
        <w:br/>
        <w:t>第 4 页，01:35–02:10：释放有日期的观察，真实重拟合并记录新模型。旧 Q 权重不自动重训，模型不匹配时明确回退。</w:t>
        <w:br/>
        <w:t>第 5 页，02:10–02:40：查看每日动作以及库存、现金、人员等余额，资源不会凭空重置。</w:t>
        <w:br/>
        <w:t>第 6 页，02:40–03:00：完整复查流程已经工作，下一步需要真实运营数据检验。</w:t>
      </w:r>
    </w:p>
    <w:p>
      <w:pPr>
        <w:pStyle w:val="Heading2"/>
      </w:pPr>
      <w:r>
        <w:t>必须保留的边界</w:t>
      </w:r>
    </w:p>
    <w:p>
      <w:pPr>
        <w:pStyle w:val="ListBullet"/>
      </w:pPr>
      <w:r>
        <w:t>事件有来源，MR D.I.Y. 订单暴露和延迟是假设。选择新闻本身不会改参数，也不会给出概率。</w:t>
      </w:r>
    </w:p>
    <w:p>
      <w:pPr>
        <w:pStyle w:val="ListBullet"/>
      </w:pPr>
      <w:r>
        <w:t>新版 3 天是额外延迟，day 5 变 day 8，超过 day 0–6 的决策窗口，订单仍未到货而非取消。不要混用 v76 的“四天总延迟”。</w:t>
      </w:r>
    </w:p>
    <w:p>
      <w:pPr>
        <w:pStyle w:val="ListBullet"/>
      </w:pPr>
      <w:r>
        <w:t>此例单次运行不证明 Q 整体更强。96 个新测试种子中，强控制器平均分更好；Q 少缺货但多花钱。</w:t>
      </w:r>
    </w:p>
    <w:p>
      <w:pPr>
        <w:pStyle w:val="ListBullet"/>
      </w:pPr>
      <w:r>
        <w:t>现在确实实现了 ODE/SDE、训练 PINN、UCT/MCTS 和训练 Q-learning。不要沿用旧稿“没有 RL”的表述；也不能说已经高保真、自动执行或验证真实收益。</w:t>
      </w:r>
    </w:p>
    <w:p>
      <w:r>
        <w:t>若超时，省略现场计算，直接讲实际截图。保留具体选择、支出与服务的取舍，以及真假数据边界。</w:t>
      </w:r>
    </w:p>
    <w:p>
      <w:r>
        <w:br w:type="page"/>
      </w:r>
    </w:p>
    <w:p>
      <w:pPr>
        <w:pStyle w:val="Heading1"/>
      </w:pPr>
      <w:r>
        <w:t>演示路线与离线备用</w:t>
      </w:r>
    </w:p>
    <w:p>
      <w:pPr>
        <w:pStyle w:val="Heading2"/>
      </w:pPr>
      <w:r>
        <w:t>上场前</w:t>
      </w:r>
    </w:p>
    <w:p>
      <w:pPr>
        <w:pStyle w:val="ListBullet"/>
      </w:pPr>
      <w:r>
        <w:t>在实际电脑打开 PPTX 检查字体、图表和隐藏附录。全部已逐页渲染检查，但未在桌面 PowerPoint 实测。便携包下载到本地。</w:t>
      </w:r>
    </w:p>
    <w:p>
      <w:pPr>
        <w:pStyle w:val="ListBullet"/>
      </w:pPr>
      <w:r>
        <w:t>全新会话、出厂模型。Strategy 选择 Hormuz，额外延迟 3 天，勾选虚构暴露确认。种子 400000，MCTS 每次决策 32 次迭代。提前运行。</w:t>
      </w:r>
    </w:p>
    <w:p>
      <w:pPr>
        <w:pStyle w:val="ListBullet"/>
      </w:pPr>
      <w:r>
        <w:t>确认 Q 行为 MYR 140、9.011 单位未满足需求；7 次决策中 4 次查已训练表、3 次明确回退。</w:t>
      </w:r>
    </w:p>
    <w:p>
      <w:pPr>
        <w:pStyle w:val="Heading2"/>
      </w:pPr>
      <w:r>
        <w:t>主线演示</w:t>
      </w:r>
    </w:p>
    <w:p>
      <w:pPr>
        <w:pStyle w:val="ListNumber"/>
      </w:pPr>
      <w:r>
        <w:t>Strategy → Start with a real event → US-Iran conflict and Hormuz disruption → Choose hypothetical retail impact。先解释来源日期及部分通行状态。</w:t>
      </w:r>
    </w:p>
    <w:p>
      <w:pPr>
        <w:pStyle w:val="ListNumber"/>
      </w:pPr>
      <w:r>
        <w:t>填写 Additional arrival delay 为 3 并确认假设。点击 Run the same seven-day episode。各策略使用相同到货条件、初始资源和公共观察。</w:t>
      </w:r>
    </w:p>
    <w:p>
      <w:pPr>
        <w:pStyle w:val="ListNumber"/>
      </w:pPr>
      <w:r>
        <w:t>展示比较。此例 Q 花费少，但未满足需求及热暴露比控制器更高。不要把负号分数误读为利润。</w:t>
      </w:r>
    </w:p>
    <w:p>
      <w:pPr>
        <w:pStyle w:val="ListNumber"/>
      </w:pPr>
      <w:r>
        <w:t>选择策略的每日轨迹，展示动作、库存、现金、人员余额和未到货订单。不得说真实订单已执行。</w:t>
      </w:r>
    </w:p>
    <w:p>
      <w:pPr>
        <w:pStyle w:val="Heading2"/>
      </w:pPr>
      <w:r>
        <w:t>可选更新演示</w:t>
      </w:r>
    </w:p>
    <w:p>
      <w:r>
        <w:t>Update model 首次释放 9 月 25 日，重现已有的 9 月 26 日模型。再释放 9 月 26 日，才装入真正更新的 9 月 27 日模型。旧 Q 不重训，模型不匹配则明确回退；旧测试期已被新训练使用，不能继续报成未见测试分数。旧运行结果不改写。</w:t>
      </w:r>
    </w:p>
    <w:p>
      <w:pPr>
        <w:pStyle w:val="Heading2"/>
      </w:pPr>
      <w:r>
        <w:t>现场节奏</w:t>
      </w:r>
    </w:p>
    <w:p>
      <w:r>
        <w:t>建议只切一次浏览器，用 30–40 秒展示提前算好的比较和每日轨迹。实时拟合、搜索与 PINN 运行留给问答。新模型更新在另一准备好的会话中展示，避免把不同模型的结果拼成单变量比较。不要调用付费 Advisor 或保存新业务决策。</w:t>
      </w:r>
    </w:p>
    <w:p>
      <w:pPr>
        <w:pStyle w:val="Heading2"/>
      </w:pPr>
      <w:r>
        <w:t>离线备用</w:t>
      </w:r>
    </w:p>
    <w:p>
      <w:r>
        <w:t>说：“I’ll use the saved screens of the same verified workflow.” 隐藏第 17–20 页依次为事件确认、策略比较、新模型状态、每日轨迹。共 20 页：6 主讲、10 证据问答、4 截图备用。新版截图均为实际 v77 画面。</w:t>
      </w:r>
    </w:p>
    <w:p>
      <w:r>
        <w:t>https://dormathon-risk-private-20261007.liuyz8715.chatgpt.site/workbench.html</w:t>
      </w:r>
    </w:p>
    <w:p>
      <w:r>
        <w:br w:type="page"/>
      </w:r>
    </w:p>
    <w:p>
      <w:pPr>
        <w:pStyle w:val="Heading1"/>
      </w:pPr>
      <w:r>
        <w:t>两分钟问答要点</w:t>
      </w:r>
    </w:p>
    <w:p>
      <w:pPr>
        <w:pStyle w:val="Heading2"/>
      </w:pPr>
      <w:r>
        <w:t>RL 是真的吗</w:t>
      </w:r>
    </w:p>
    <w:p>
      <w:r>
        <w:t>是。三个种子各训练 20,000 个七天交互回合，主种子事先指定。完整主 Q 表和访问次数被独立复现。这证明真实实现，不证明商业有效性。</w:t>
      </w:r>
    </w:p>
    <w:p>
      <w:pPr>
        <w:pStyle w:val="Heading2"/>
      </w:pPr>
      <w:r>
        <w:t>为什么不能宣称 Q 全面胜出</w:t>
      </w:r>
    </w:p>
    <w:p>
      <w:r>
        <w:t>新 96 种子测试中，控制器平均分 −266.65，主 Q −271.24，MCTS 32/128 为 −317.68/−304.80，越高越好。Q 在 58/96 个情景输给控制器，但未满足需求从 7.67 降到 3.42，新增模拟支出从 MYR 89.25 增到 144.21。早先被动基线过弱，已另立强基线和新测试；原结果保留。</w:t>
      </w:r>
    </w:p>
    <w:p>
      <w:pPr>
        <w:pStyle w:val="Heading2"/>
      </w:pPr>
      <w:r>
        <w:t>模型更新是否等于策略重训</w:t>
      </w:r>
    </w:p>
    <w:p>
      <w:r>
        <w:t>不是。按过去 56 天观察重拟合需求和温度参数，控制器与搜索使用新模型。Q 权重冻结，模型不匹配则回退。没有公司实时数据流或自动训练。</w:t>
      </w:r>
    </w:p>
    <w:p>
      <w:pPr>
        <w:pStyle w:val="Heading2"/>
      </w:pPr>
      <w:r>
        <w:t>PINN 有什么证据</w:t>
      </w:r>
    </w:p>
    <w:p>
      <w:r>
        <w:t>37 个参数、8,000 次 Adam 更新，以方程残差和合成精确点训练，100 个不同位置验证。冻结模型的每日平均温度最大偏差约 0.0001488°C；网页更新后约 0.000158134°C。精确 RC 解更简单、更准，不能说 PINN 胜出。</w:t>
      </w:r>
    </w:p>
    <w:p>
      <w:pPr>
        <w:pStyle w:val="Heading2"/>
      </w:pPr>
      <w:r>
        <w:t>模型真实到什么程度</w:t>
      </w:r>
    </w:p>
    <w:p>
      <w:r>
        <w:t>确有资源守恒、需求 SDE 和温度等动力学。但运营观察与参数是合成或作者假设，人员池也经过简化，没有真实公司经营或物理验证。</w:t>
      </w:r>
    </w:p>
    <w:p>
      <w:pPr>
        <w:pStyle w:val="Heading2"/>
      </w:pPr>
      <w:r>
        <w:t>哪些数字不能混用</w:t>
      </w:r>
    </w:p>
    <w:p>
      <w:r>
        <w:t>Hormuz 单次 +3 天测试、96 种子无事件测试、固定排程 PINN 比较是不同实验。v76 的 68 单位缺口、零短缺方案、1.3 小时缺口和 161/274 成本属于旧模型；40 单位与 496/61.6 是更早的假设。</w:t>
      </w:r>
    </w:p>
    <w:p>
      <w:pPr>
        <w:pStyle w:val="Heading2"/>
      </w:pPr>
      <w:r>
        <w:t>外部研究与其他事件</w:t>
      </w:r>
    </w:p>
    <w:p>
      <w:r>
        <w:t>UCI 每周 WAPE 69.73% 对 77.21%，每日 108.53%，数据已有暴露；旧每日为 103.41%。都不是公司准确率。能登和红海是注明日期的历史事件；Kimi 只作 AI 采购讨论。</w:t>
      </w:r>
    </w:p>
    <w:p>
      <w:pPr>
        <w:pStyle w:val="Heading2"/>
      </w:pPr>
      <w:r>
        <w:t>权限和后续</w:t>
      </w:r>
    </w:p>
    <w:p>
      <w:r>
        <w:t>新计算只读，不下单、不付款、不调度人员或设施。已有 LLM 仅解释单案例。下一步需真实观察及对照验证，没有已约定的公司试点。来源和详细证据见英文指南。</w:t>
      </w:r>
    </w:p>
    <w:sectPr w:rsidR="00FC693F" w:rsidRPr="0006063C" w:rsidSect="00034616">
      <w:footerReference w:type="default" r:id="rId9"/>
      <w:pgSz w:w="11909" w:h="16834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77777"/>
        <w:sz w:val="18"/>
      </w:rPr>
      <w:t xml:space="preserve">Dormathon  /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Liberation Sans" w:hAnsi="Liberation Sans" w:eastAsia="Noto Sans CJK SC"/>
      <w:color w:val="000000"/>
      <w:rFonts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Liberation Sans" w:hAnsi="Liberation Sans" w:eastAsia="Noto Sans CJK SC"/>
      <w:b/>
      <w:bCs/>
      <w:color w:val="000000"/>
      <w:sz w:val="40"/>
      <w:szCs w:val="28"/>
      <w:rFont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 w:eastAsia="Noto Sans CJK SC"/>
      <w:b/>
      <w:bCs/>
      <w:color w:val="000000"/>
      <w:sz w:val="25"/>
      <w:szCs w:val="26"/>
      <w:rFont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60" w:line="240" w:lineRule="auto"/>
      <w:contextualSpacing/>
    </w:pPr>
    <w:rPr>
      <w:rFonts w:asciiTheme="majorHAnsi" w:eastAsiaTheme="majorEastAsia" w:hAnsiTheme="majorHAnsi" w:cstheme="majorBidi" w:ascii="Liberation Sans" w:hAnsi="Liberation Sans" w:eastAsia="Noto Sans CJK SC"/>
      <w:b/>
      <w:color w:val="000000"/>
      <w:spacing w:val="5"/>
      <w:kern w:val="28"/>
      <w:sz w:val="54"/>
      <w:szCs w:val="52"/>
      <w:rFont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Noto Sans CJK SC"/>
      <w:i/>
      <w:iCs/>
      <w:color w:val="000000"/>
      <w:spacing w:val="15"/>
      <w:sz w:val="22"/>
      <w:szCs w:val="24"/>
      <w:rFonts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 w:eastAsia="Noto Sans CJK SC"/>
      <w:color w:val="000000"/>
      <w:rFonts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 w:eastAsia="Noto Sans CJK SC"/>
      <w:color w:val="000000"/>
      <w:rFonts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Dormathon 讲者指南</dc:title>
  <dc:subject>Hackathon presentation and verified product demonstration</dc:subject>
  <dc:creator>Taotern</dc:creator>
  <cp:keywords>Dormathon, presentation, synthetic scenario, verified demo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