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Dormathon Pitch and Demo Runbook</w:t>
      </w:r>
    </w:p>
    <w:p>
      <w:pPr>
        <w:pStyle w:val="Subtitle"/>
      </w:pPr>
      <w:r>
        <w:t>Site v74 edition  /  10 October 2026  /  English presentation</w:t>
      </w:r>
    </w:p>
    <w:p>
      <w:r>
        <w:t>Use this runbook for the three-minute pitch and two-minute Q&amp;A. The updated story follows a dated demand outlook into a bounded six-case plan comparison. All operational history, stock and arrivals are explicitly synthetic. The earlier package remains an independent fallback and uses different assumptions.</w:t>
      </w:r>
    </w:p>
    <w:p>
      <w:pPr>
        <w:pStyle w:val="Heading2"/>
      </w:pPr>
      <w:r>
        <w:t>Schedule in Malaysia time</w:t>
      </w:r>
    </w:p>
    <w:p>
      <w:r>
        <w:t>10 October 2026, 19:00: presentation-ready target.</w:t>
        <w:br/>
        <w:t>10 October 2026, 20:00: owner review.</w:t>
        <w:br/>
        <w:t>11 October 2026, 09:00: submission deadline.</w:t>
        <w:br/>
        <w:t>Pitch: exactly 3 minutes. Q&amp;A: 2 minutes. These details were confirmed by the owner.</w:t>
      </w:r>
    </w:p>
    <w:p>
      <w:pPr>
        <w:pStyle w:val="Heading2"/>
      </w:pPr>
      <w:r>
        <w:t>Run of show</w:t>
      </w:r>
    </w:p>
    <w:p>
      <w:r>
        <w:t>00:00–00:15  Slide 1: user and decision</w:t>
        <w:br/>
        <w:t>00:15–00:40  Slide 2: shared operating problem</w:t>
        <w:br/>
        <w:t>00:40–01:15  Slide 3: dated outlook and first shortage</w:t>
        <w:br/>
        <w:t>01:15–01:55  Slide 4: feasible package and residual risk</w:t>
        <w:br/>
        <w:t>01:55–02:30  Slide 5: working product and control boundaries</w:t>
        <w:br/>
        <w:t>02:30–03:00  Slide 6: delivered value and evidence</w:t>
        <w:br/>
        <w:t>03:00–05:00  Answer the question, then open one relevant appendix</w:t>
      </w:r>
    </w:p>
    <w:p>
      <w:pPr>
        <w:pStyle w:val="Heading2"/>
      </w:pPr>
      <w:r>
        <w:t>Before presenting</w:t>
      </w:r>
    </w:p>
    <w:p>
      <w:pPr>
        <w:pStyle w:val="ListBullet"/>
      </w:pPr>
      <w:r>
        <w:t>Open the PPTX on the actual presentation computer and check fonts and charts. The file was rendered and inspected with Artifact Tool, not desktop PowerPoint. Keep a local copy of the portable package.</w:t>
      </w:r>
    </w:p>
    <w:p>
      <w:pPr>
        <w:pStyle w:val="ListBullet"/>
      </w:pPr>
      <w:r>
        <w:t>Open a fresh browser session, confirm zero session reservations and retain default assumptions. Preload SC01 Organization and Strategy. Verify 148 units of demand, 25.636 unmet, 72 packages and 48 feasible. Changed assumptions or prior reservations can change the results.</w:t>
      </w:r>
    </w:p>
    <w:p>
      <w:pPr>
        <w:pStyle w:val="ListBullet"/>
      </w:pPr>
      <w:r>
        <w:t>Rehearse one browser switch lasting about 45 seconds across slides 3 and 4. The real v73/v74 screenshots on slides 3 and 5 also support a fully offline main pitch.</w:t>
      </w:r>
    </w:p>
    <w:p>
      <w:pPr>
        <w:pStyle w:val="ListBullet"/>
      </w:pPr>
      <w:r>
        <w:t>The deck has 17 slides: 6 visible, 7 evidence/Q&amp;A appendices and 4 saved-screen fallbacks. Hidden slides 14–17 are accessible from the slide navigator.</w:t>
      </w:r>
    </w:p>
    <w:p>
      <w:r>
        <w:t>If running long, omit the forty-case count sentence and the exact benchmark comparison. Keep the synthetic-data qualification, residual risk and selected-case-only control boundary.</w:t>
      </w:r>
    </w:p>
    <w:p>
      <w:r>
        <w:br w:type="page"/>
      </w:r>
    </w:p>
    <w:p>
      <w:pPr>
        <w:pStyle w:val="Heading1"/>
      </w:pPr>
      <w:r>
        <w:t>Three minute spoken script</w:t>
      </w:r>
    </w:p>
    <w:p>
      <w:pPr>
        <w:pStyle w:val="Subtitle"/>
      </w:pPr>
      <w:r>
        <w:t>Speak naturally. Browser actions fit inside the assigned times.</w:t>
      </w:r>
    </w:p>
    <w:p>
      <w:pPr>
        <w:pStyle w:val="Heading2"/>
      </w:pPr>
      <w:r>
        <w:t>Slide 1  00:00–00:15</w:t>
      </w:r>
    </w:p>
    <w:p>
      <w:r>
        <w:t>A regional operations lead sees a delivery arriving late. Protecting service may need another store’s stock, invoice review or a different receiving window. Dormathon connects those exceptions to the evidence behind a response.</w:t>
      </w:r>
    </w:p>
    <w:p>
      <w:pPr>
        <w:pStyle w:val="Heading2"/>
      </w:pPr>
      <w:r>
        <w:t>Slide 2  00:15–00:40</w:t>
      </w:r>
    </w:p>
    <w:p>
      <w:r>
        <w:t>These decisions compete for the same resources. Our MR D.I.Y. Malaysia demonstration uses public operating context and explicitly synthetic internal data. Forty cases cover supply, procurement, service and energy security. Six cases follow one linked replenishment episode.</w:t>
      </w:r>
    </w:p>
    <w:p>
      <w:pPr>
        <w:pStyle w:val="Heading2"/>
      </w:pPr>
      <w:r>
        <w:t>Slide 3  00:40–01:15</w:t>
      </w:r>
    </w:p>
    <w:p>
      <w:r>
        <w:t>The outlook uses 196 days of authored synthetic history. It generates 148 units of demand across seven days and includes every declared arrival. Free stock runs out on October twelfth, before the next arrival on the thirteenth. The no-change path leaves 25.636 units unmet. These are conditional results, not observed company shortages.</w:t>
      </w:r>
    </w:p>
    <w:p>
      <w:pPr>
        <w:pStyle w:val="Heading2"/>
      </w:pPr>
      <w:r>
        <w:t>Slide 4  01:15–01:55</w:t>
      </w:r>
    </w:p>
    <w:p>
      <w:r>
        <w:t>Strategy compares seventy-two bounded packages. Forty-eight satisfy the declared shared constraints. One frontier example transfers a buffer, plans invoice review and qualified service, and protects safety-minimum power. It removes modeled unmet demand while a one-point-three-hour continuity gap remains visible. Feasible does not mean risk-free. This comparison executes nothing.</w:t>
      </w:r>
    </w:p>
    <w:p>
      <w:pPr>
        <w:pStyle w:val="Heading2"/>
      </w:pPr>
      <w:r>
        <w:t>Slide 5  01:55–02:30</w:t>
      </w:r>
    </w:p>
    <w:p>
      <w:r>
        <w:t>This is the working plan view. One ledger prevents stock, cash or capacity from being counted twice. Missing lead time produces an abstention. The existing GPT-OSS Advisor explains selected cases only. It does not consume these joint plans. Saved human choices also remain case-scoped, and no order, payment or facility action executes.</w:t>
      </w:r>
    </w:p>
    <w:p>
      <w:pPr>
        <w:pStyle w:val="Heading2"/>
      </w:pPr>
      <w:r>
        <w:t>Slide 6  02:30–03:00</w:t>
      </w:r>
    </w:p>
    <w:p>
      <w:r>
        <w:t>The result is a working decision workspace with visible trade-offs. A separate exploratory study achieved 69.73 percent weekly WAPE against 77.21 for the same-fold mean baseline. Daily error remains high, and the data had prior exposure. We make no company-accuracy claim. The next proof needs observed stock, arrivals and warning outcomes.</w:t>
      </w:r>
    </w:p>
    <w:p>
      <w:pPr>
        <w:pStyle w:val="Heading2"/>
      </w:pPr>
      <w:r>
        <w:t>If the live screen stalls</w:t>
      </w:r>
    </w:p>
    <w:p>
      <w:r>
        <w:t>“I’ll use the saved screens of the same verified workflow.” Continue immediately with the deck. Do not debug or create another decision on stage.</w:t>
      </w:r>
    </w:p>
    <w:p>
      <w:r>
        <w:br w:type="page"/>
      </w:r>
    </w:p>
    <w:p>
      <w:pPr>
        <w:pStyle w:val="Heading1"/>
      </w:pPr>
      <w:r>
        <w:t>Verified demo route</w:t>
      </w:r>
    </w:p>
    <w:p>
      <w:pPr>
        <w:pStyle w:val="Heading2"/>
      </w:pPr>
      <w:r>
        <w:t>Main path in about 45 seconds</w:t>
      </w:r>
    </w:p>
    <w:p>
      <w:pPr>
        <w:pStyle w:val="ListNumber"/>
      </w:pPr>
      <w:r>
        <w:t>Open Home, then Organization. Select SC01 Demand-driven replenishment. The Demand, stock &amp; arrival outlook shows 148 units across seven days, first projected shortage 2026-10-12 and 25.636 units unmet. The next declared arrival is 2026-10-13.</w:t>
      </w:r>
    </w:p>
    <w:p>
      <w:pPr>
        <w:pStyle w:val="ListNumber"/>
      </w:pPr>
      <w:r>
        <w:t>Choose Compare in Strategy, wait for the page, then make one short scroll past the frozen basis. Preload that panel if possible. The Whole-episode plan comparison shows 72 bounded packages, 48 feasible and one frontier example. Point to zero unmet demand and the remaining 1.3-hour continuity gap. Invoice review is planned, not completed.</w:t>
      </w:r>
    </w:p>
    <w:p>
      <w:pPr>
        <w:pStyle w:val="ListNumber"/>
      </w:pPr>
      <w:r>
        <w:t>If time permits, use the selector once to show the No-change reference: 25.636 units unmet and 4.0-hour continuity gap. Return to the feasible frontier example, then return to slide 5.</w:t>
      </w:r>
    </w:p>
    <w:p>
      <w:pPr>
        <w:pStyle w:val="Heading2"/>
      </w:pPr>
      <w:r>
        <w:t>Stable entry points</w:t>
      </w:r>
    </w:p>
    <w:p>
      <w:r>
        <w:t>https://dormathon-risk-private-20261007.liuyz8715.chatgpt.site/workbench.html?view=decisions&amp;time_basis=source&amp;mrdiy_case=demo_supply_01</w:t>
      </w:r>
    </w:p>
    <w:p>
      <w:r>
        <w:t>https://dormathon-risk-private-20261007.liuyz8715.chatgpt.site/workbench.html?view=strategy&amp;time_basis=source&amp;mrdiy_case=demo_supply_01</w:t>
      </w:r>
    </w:p>
    <w:p>
      <w:r>
        <w:t>https://dormathon-risk-private-20261007.liuyz8715.chatgpt.site/workbench.html?view=decisions&amp;time_basis=source&amp;mrdiy_case=mrdiy_supply_16</w:t>
      </w:r>
    </w:p>
    <w:p>
      <w:pPr>
        <w:pStyle w:val="Heading2"/>
      </w:pPr>
      <w:r>
        <w:t>Optional Q&amp;A branches</w:t>
      </w:r>
    </w:p>
    <w:p>
      <w:pPr>
        <w:pStyle w:val="ListBullet"/>
      </w:pPr>
      <w:r>
        <w:t>Resource ledger: inspect capacity, prior reservation, package requirement and remaining amounts. Planning the package does not actually reserve those resources.</w:t>
      </w:r>
    </w:p>
    <w:p>
      <w:pPr>
        <w:pStyle w:val="ListBullet"/>
      </w:pPr>
      <w:r>
        <w:t>SC16: missing lead_days gives an insufficient-input outlook. It does not invent demand or display the unrelated six-case episode.</w:t>
      </w:r>
    </w:p>
    <w:p>
      <w:pPr>
        <w:pStyle w:val="ListBullet"/>
      </w:pPr>
      <w:r>
        <w:t>Intelligence: show the separate Exploratory rolling-origin study. Keep weekly 69.73% and daily 108.53% visibly distinct. Explain prior exposure before calling it evidence of improvement.</w:t>
      </w:r>
    </w:p>
    <w:p>
      <w:pPr>
        <w:pStyle w:val="ListBullet"/>
      </w:pPr>
      <w:r>
        <w:t>A saved selected-case decision can reopen its frozen basis. It is not a saved joint plan. Older records retain their original bytes and do not acquire a newly recomputed outlook.</w:t>
      </w:r>
    </w:p>
    <w:p>
      <w:pPr>
        <w:pStyle w:val="Heading2"/>
      </w:pPr>
      <w:r>
        <w:t>Offline screens and legacy separation</w:t>
      </w:r>
    </w:p>
    <w:p>
      <w:r>
        <w:t>Slide 14: outlook. Slide 15: joint plan. Slide 16: rolling study. Slide 17: missing-input abstention. Main slide 3 contains the saved v73 outlook; slide 5 contains the cleaner v74 plan screen. Full-size source screenshots are in the portable package.</w:t>
      </w:r>
    </w:p>
    <w:p>
      <w:r>
        <w:t>The collapsed Original selected-case baseline uses 20 units/day and its original arrival assumptions. Its 40-unit gap and MYR496 versus MYR61.6 are a different comparison. Do not combine them with the 148-unit outlook or 25.636-unit no-change result.</w:t>
      </w:r>
    </w:p>
    <w:p>
      <w:r>
        <w:br w:type="page"/>
      </w:r>
    </w:p>
    <w:p>
      <w:pPr>
        <w:pStyle w:val="Heading1"/>
      </w:pPr>
      <w:r>
        <w:t>Two minute Q and A</w:t>
      </w:r>
    </w:p>
    <w:p>
      <w:pPr>
        <w:pStyle w:val="Subtitle"/>
      </w:pPr>
      <w:r>
        <w:t>Choose the answer that matches the question. Do not read the whole list.</w:t>
      </w:r>
    </w:p>
    <w:p>
      <w:pPr>
        <w:pStyle w:val="Heading2"/>
      </w:pPr>
      <w:r>
        <w:t>How do you prove a better decision</w:t>
      </w:r>
    </w:p>
    <w:p>
      <w:r>
        <w:t>“We compare packages against the same demand, arrivals and shared resource snapshot. This example moves modeled unmet demand from 25.636 to zero while showing the remaining 1.3-hour continuity gap. It proves a reproducible conditional comparison. Real benefit needs observed operational outcomes.”</w:t>
      </w:r>
    </w:p>
    <w:p>
      <w:pPr>
        <w:pStyle w:val="Heading2"/>
      </w:pPr>
      <w:r>
        <w:t>Is this actual MR D I Y data</w:t>
      </w:r>
    </w:p>
    <w:p>
      <w:r>
        <w:t>“Only the public company context is real. The 196-day history and all internal operating inputs are synthetic. We imply no company access, endorsement or measured savings.”</w:t>
      </w:r>
    </w:p>
    <w:p>
      <w:pPr>
        <w:pStyle w:val="Heading2"/>
      </w:pPr>
      <w:r>
        <w:t>What is the predictive result</w:t>
      </w:r>
    </w:p>
    <w:p>
      <w:r>
        <w:t>“In an exploratory eight-fold study of UCI retail sales, the past-validation selector has weekly WAPE 69.73%, versus 77.21% for mean28 on the same folds. Daily WAPE remains 108.53%. These periods had been exposed in earlier training analysis, so this is not a pristine holdout or company validation.”</w:t>
      </w:r>
    </w:p>
    <w:p>
      <w:pPr>
        <w:pStyle w:val="Heading2"/>
      </w:pPr>
      <w:r>
        <w:t>What forecasting is implemented</w:t>
      </w:r>
    </w:p>
    <w:p>
      <w:r>
        <w:t>“Statistical methods with past-only validation selection. We compare 14 fixed point candidates, including seasonal, smoothing and intermittent-demand methods. An earlier supervised ridge model lost to the simple mean, so we report that result rather than promote it.”</w:t>
      </w:r>
    </w:p>
    <w:p>
      <w:pPr>
        <w:pStyle w:val="Heading2"/>
      </w:pPr>
      <w:r>
        <w:t>Is this reinforcement learning or a global optimum</w:t>
      </w:r>
    </w:p>
    <w:p>
      <w:r>
        <w:t>“No. We enumerate 72 declared packages across six linked cases. Forty-eight are feasible under the default constraints. The frontier is relative to that bounded catalog and displayed objectives, with no hidden scalar weights.”</w:t>
      </w:r>
    </w:p>
    <w:p>
      <w:pPr>
        <w:pStyle w:val="Heading2"/>
      </w:pPr>
      <w:r>
        <w:t>Can the AI act or approve this plan</w:t>
      </w:r>
    </w:p>
    <w:p>
      <w:r>
        <w:t>“The joint comparison is read-only. The optional GPT-OSS 120B explanation remains selected-case-only and does not receive the joint plan. Existing human-choice records also remain case-scoped. Nothing places an order, pays an invoice or controls equipment.”</w:t>
      </w:r>
    </w:p>
    <w:p>
      <w:pPr>
        <w:pStyle w:val="Heading2"/>
      </w:pPr>
      <w:r>
        <w:t>Are the forecast ranges calibrated</w:t>
      </w:r>
    </w:p>
    <w:p>
      <w:r>
        <w:t>“No. The live low/high values are authored-history scenarios. They are not confidence bounds or stockout probabilities. Missing required inputs make the calculation abstain.”</w:t>
      </w:r>
    </w:p>
    <w:p>
      <w:pPr>
        <w:pStyle w:val="Heading2"/>
      </w:pPr>
      <w:r>
        <w:t>Deployment readiness</w:t>
      </w:r>
    </w:p>
    <w:p>
      <w:r>
        <w:t>The hosted prototype and saved screens demonstrate the verified workflow. Company-specific validation, observed shortage labels, production data integration and a controlled operating pilot remain future work. A proposed pilot is not an agreed customer commitment.</w:t>
      </w:r>
    </w:p>
    <w:p>
      <w:r>
        <w:br w:type="page"/>
      </w:r>
    </w:p>
    <w:p>
      <w:pPr>
        <w:pStyle w:val="Heading1"/>
      </w:pPr>
      <w:r>
        <w:t>Study and source notes</w:t>
      </w:r>
    </w:p>
    <w:p>
      <w:pPr>
        <w:pStyle w:val="Heading2"/>
      </w:pPr>
      <w:r>
        <w:t>New rolling study</w:t>
      </w:r>
    </w:p>
    <w:p>
      <w:r>
        <w:t>UCI Online Retail II is an external UK non-store retailer dataset from 2009–2011. The new analysis evaluates positive recorded sales, a demand proxy, in eight disjoint 28-day test windows beginning February through September 2011. Each fold uses its prior 28 validation days to select from 14 fixed statistical candidates. There are 89,324 weekly forecasts and 625,268 daily prediction points.</w:t>
      </w:r>
    </w:p>
    <w:p>
      <w:r>
        <w:t>Exact aggregate weekly WAPE is 69.7338% for the selector and 77.2117% for mean28: a 7.4779 percentage-point difference. The descriptive paired 400-resample SKU/fold interval for selector minus mean28 is −11.63 to −3.71 points. Only eight time blocks, one retailer and prior exposure limit confirmation. Daily selector WAPE is 108.5263%. WAPE is an error ratio, not one minus accuracy.</w:t>
      </w:r>
    </w:p>
    <w:p>
      <w:r>
        <w:t>The data belonged to prior training periods. Freezing the new protocol prevents fresh test-driven choices within this analysis but does not undo earlier exposure. Exact isolated reproduction and formula checks passed. No operational model promotion, calibrated stockout probability or causal savings follows.</w:t>
      </w:r>
    </w:p>
    <w:p>
      <w:pPr>
        <w:pStyle w:val="Heading2"/>
      </w:pPr>
      <w:r>
        <w:t>Original study remains separate</w:t>
      </w:r>
    </w:p>
    <w:p>
      <w:r>
        <w:t>The original November–December 2011 daily test retains mean28 MAE 6.974 and WAPE 103.41%. Weekly-naive MAE is 7.727 and ridge MAE 7.607. Ridge lost to the mean. The new weekly score cannot be compared directly with this original daily score as a single improvement claim.</w:t>
      </w:r>
    </w:p>
    <w:p>
      <w:pPr>
        <w:pStyle w:val="Heading2"/>
      </w:pPr>
      <w:r>
        <w:t>Scenario costs and shared constraints</w:t>
      </w:r>
    </w:p>
    <w:p>
      <w:r>
        <w:t>The v73 no-change known conditional cost is MYR323.583. The displayed frontier example is MYR63.968. These exclude unpriced energy, service and review consequences and are not realized savings. No-change continuity gap is 4 hours; the frontier retains 1.3 hours. Energy exposure alone does not establish a receiving delay. Invoice review is counted once across SC17/SC18.</w:t>
      </w:r>
    </w:p>
    <w:p>
      <w:pPr>
        <w:pStyle w:val="Heading2"/>
      </w:pPr>
      <w:r>
        <w:t>Public sources</w:t>
      </w:r>
    </w:p>
    <w:p>
      <w:r>
        <w:t>MR D.I.Y. Integrated Annual Report 2025</w:t>
        <w:br/>
        <w:t>https://mrdiy.listedcompany.com/misc/ar/MRDIY_AR2025.pdf</w:t>
      </w:r>
    </w:p>
    <w:p>
      <w:r>
        <w:t>MR D.I.Y. Sustainability Report 2025</w:t>
        <w:br/>
        <w:t>https://corporate.mrdiy.com/misc/sustainability/MRDIY-Sustainability_Report_2025.pdf</w:t>
      </w:r>
    </w:p>
    <w:p>
      <w:r>
        <w:t>Chen, D. (2012). Online Retail II. UCI Machine Learning Repository. DOI 10.24432/C5CG6D. CC BY 4.0.</w:t>
        <w:br/>
        <w:t>https://archive.ics.uci.edu/dataset/502/online+retail+ii</w:t>
      </w:r>
    </w:p>
    <w:p>
      <w:r>
        <w:t>MR D.I.Y. FY2025 group reporting includes Malaysia and Brunei unless specified otherwise. The synthetic demonstration is scoped separately to Malaysia. The current product edition is Site v74. Screenshots retain their actual capture labels: v73 for the unchanged outlook, study and abstention, and v74 for the cleaner joint-plan view, all on 10 October 2026.</w:t>
      </w:r>
    </w:p>
    <w:sectPr w:rsidR="00FC693F" w:rsidRPr="0006063C" w:rsidSect="00034616">
      <w:footerReference w:type="default" r:id="rId9"/>
      <w:pgSz w:w="11909" w:h="16834"/>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8"/>
      </w:rPr>
      <w:t xml:space="preserve">Dormathon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Liberation Sans" w:hAnsi="Liberation Sans" w:eastAsia="Noto Sans CJK SC"/>
      <w:color w:val="000000"/>
      <w:rFont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Liberation Sans" w:hAnsi="Liberation Sans" w:eastAsia="Noto Sans CJK SC"/>
      <w:b/>
      <w:bCs/>
      <w:color w:val="000000"/>
      <w:sz w:val="40"/>
      <w:szCs w:val="28"/>
      <w:rFonts/>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eastAsia="Noto Sans CJK SC"/>
      <w:b/>
      <w:bCs/>
      <w:color w:val="000000"/>
      <w:sz w:val="25"/>
      <w:szCs w:val="26"/>
      <w:rFont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Liberation Sans" w:hAnsi="Liberation Sans" w:eastAsia="Noto Sans CJK SC"/>
      <w:b/>
      <w:color w:val="000000"/>
      <w:spacing w:val="5"/>
      <w:kern w:val="28"/>
      <w:sz w:val="54"/>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Noto Sans CJK SC"/>
      <w:i/>
      <w:iCs/>
      <w:color w:val="000000"/>
      <w:spacing w:val="15"/>
      <w:sz w:val="22"/>
      <w:szCs w:val="24"/>
      <w:rFont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Noto Sans CJK SC"/>
      <w:color w:val="000000"/>
      <w:rFont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Noto Sans CJK SC"/>
      <w:color w:val="000000"/>
      <w:rFont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Dormathon Pitch and Demo Runbook</dc:title>
  <dc:subject>Hackathon presentation and verified product demonstration</dc:subject>
  <dc:creator>Taotern</dc:creator>
  <cp:keywords>Dormathon, presentation, synthetic scenario, verified demo</cp:keywords>
  <dc:description>generated by python-docx</dc:description>
  <cp:lastModifiedBy/>
  <cp:revision>1</cp:revision>
  <dcterms:created xsi:type="dcterms:W3CDTF">2013-12-23T23:15:00Z</dcterms:created>
  <dcterms:modified xsi:type="dcterms:W3CDTF">2013-12-23T23:15:00Z</dcterms:modified>
  <cp:category/>
</cp:coreProperties>
</file>