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Dormathon 讲者指南</w:t>
      </w:r>
    </w:p>
    <w:p>
      <w:pPr>
        <w:pStyle w:val="Subtitle"/>
      </w:pPr>
      <w:r>
        <w:t>Site v74 版  /  2026 年 10 月 10 日  /  中文讲解备忘</w:t>
      </w:r>
    </w:p>
    <w:p>
      <w:r>
        <w:t>这份指南配合新版英文幻灯片使用。主演讲仍为 3 分钟，问答 2 分钟。故事从有日期的需求预测进入六个关联案例的联合方案比较。旧版演示包保持独立备用，不能把两套假设和数字混用。</w:t>
      </w:r>
    </w:p>
    <w:p>
      <w:pPr>
        <w:pStyle w:val="Heading2"/>
      </w:pPr>
      <w:r>
        <w:t>时间安排</w:t>
      </w:r>
    </w:p>
    <w:p>
      <w:r>
        <w:t>以下均为马来西亚时间。10 月 10 日 19:00 前准备好，20:00 复核；10 月 11 日 09:00 提交。3 分钟演讲加 2 分钟问答为用户确认的安排。</w:t>
      </w:r>
    </w:p>
    <w:p>
      <w:pPr>
        <w:pStyle w:val="Heading2"/>
      </w:pPr>
      <w:r>
        <w:t>六页主线</w:t>
      </w:r>
    </w:p>
    <w:p>
      <w:r>
        <w:t>第 1 页，00:00–00:15：区域运营负责人遇到配送延迟，需要知道怎样处理。</w:t>
        <w:br/>
        <w:t>第 2 页，00:15–00:40：库存、发票、服务和供电共享资源。真实公开背景，内部全部为合成数据。</w:t>
        <w:br/>
        <w:t>第 3 页，00:40–01:15：196 天人工构造历史，未来 7 天点预测 148 单位；10 月 12 日开始短缺，13 日才有下一笔到货，不变路径未满足需求 25.636 单位。</w:t>
        <w:br/>
        <w:t>第 4 页，01:15–01:55：72 个有界组合，默认 48 个可行。示例方案消除模型中的短缺，但仍有 1.3 小时连续运行缺口。</w:t>
        <w:br/>
        <w:t>第 5 页，01:55–02:30：真实产品画面，一个资源账本；联合方案只读，LLM 仍只解释单案例。</w:t>
        <w:br/>
        <w:t>第 6 页，02:30–03:00：已交付可检查的决策工作台。简述外部探索性结果，并说明还需真实运营验证。</w:t>
      </w:r>
    </w:p>
    <w:p>
      <w:pPr>
        <w:pStyle w:val="Heading2"/>
      </w:pPr>
      <w:r>
        <w:t>务必讲清的边界</w:t>
      </w:r>
    </w:p>
    <w:p>
      <w:pPr>
        <w:pStyle w:val="ListBullet"/>
      </w:pPr>
      <w:r>
        <w:t>MR D.I.Y. 仅提供公开运营背景。196 天历史、库存、到货、事件及计算结果均属合成情景，不能说成公司真实记录。</w:t>
      </w:r>
    </w:p>
    <w:p>
      <w:pPr>
        <w:pStyle w:val="ListBullet"/>
      </w:pPr>
      <w:r>
        <w:t>联合方案是有界比较，不是 RL、全局最优、真实节省或自动执行。零模拟短缺不等于零风险，仍有 1.3 小时连续运行缺口。</w:t>
      </w:r>
    </w:p>
    <w:p>
      <w:pPr>
        <w:pStyle w:val="ListBullet"/>
      </w:pPr>
      <w:r>
        <w:t>69.73% 是每周总量 WAPE，不是准确率。每日 WAPE 仍为 108.53%；数据以前已用于训练期分析，不是全新未见测试集。</w:t>
      </w:r>
    </w:p>
    <w:p>
      <w:r>
        <w:t>若超时，删掉 40 案例数量介绍和精确的评估对比，保留合成数据、剩余风险、单案例解释范围。</w:t>
      </w:r>
    </w:p>
    <w:p>
      <w:r>
        <w:br w:type="page"/>
      </w:r>
    </w:p>
    <w:p>
      <w:pPr>
        <w:pStyle w:val="Heading1"/>
      </w:pPr>
      <w:r>
        <w:t>现场演示和离线备用</w:t>
      </w:r>
    </w:p>
    <w:p>
      <w:pPr>
        <w:pStyle w:val="Heading2"/>
      </w:pPr>
      <w:r>
        <w:t>上场前检查</w:t>
      </w:r>
    </w:p>
    <w:p>
      <w:pPr>
        <w:pStyle w:val="ListBullet"/>
      </w:pPr>
      <w:r>
        <w:t>先在实际演讲电脑打开 PPTX，检查字体和图表。文件经过导出渲染检查，未在桌面 PowerPoint 实测。提前把压缩包下载到本地。</w:t>
      </w:r>
    </w:p>
    <w:p>
      <w:pPr>
        <w:pStyle w:val="ListBullet"/>
      </w:pPr>
      <w:r>
        <w:t>用全新浏览器会话，确认无已有会话预留，保持默认假设。预先打开 SC01 的 Organization 和 Strategy。确认 148、25.636、72、48 四个数字一致。</w:t>
      </w:r>
    </w:p>
    <w:p>
      <w:pPr>
        <w:pStyle w:val="ListBullet"/>
      </w:pPr>
      <w:r>
        <w:t>不要为了展示新版功能发起付费模型请求。新联合方案不会传给旧版单案例 LLM。</w:t>
      </w:r>
    </w:p>
    <w:p>
      <w:pPr>
        <w:pStyle w:val="Heading2"/>
      </w:pPr>
      <w:r>
        <w:t>约 45 秒操作路线</w:t>
      </w:r>
    </w:p>
    <w:p>
      <w:pPr>
        <w:pStyle w:val="ListNumber"/>
      </w:pPr>
      <w:r>
        <w:t>Home → Organization → SC01 Demand-driven replenishment。展示 Demand, stock &amp; arrival outlook，指向 148 单位、10 月 12 日、25.636 单位和 13 日到货。</w:t>
      </w:r>
    </w:p>
    <w:p>
      <w:pPr>
        <w:pStyle w:val="ListNumber"/>
      </w:pPr>
      <w:r>
        <w:t>点击 Compare in Strategy，等待加载，再稍向下滚过冻结依据；最好提前停在方案面板。找到 Whole-episode plan comparison，展示 72 组合、48 可行和一个 frontier 示例。重点指向 0 未满足需求、1.3 小时连续运行缺口。</w:t>
      </w:r>
    </w:p>
    <w:p>
      <w:pPr>
        <w:pStyle w:val="ListNumber"/>
      </w:pPr>
      <w:r>
        <w:t>有时间才切换一次 No-change reference，展示 25.636 单位及 4 小时缺口，再返回示例方案。随即回到第 5 页。不要在 3 分钟内保存新记录或改参数。</w:t>
      </w:r>
    </w:p>
    <w:p>
      <w:pPr>
        <w:pStyle w:val="Heading2"/>
      </w:pPr>
      <w:r>
        <w:t>离线路线</w:t>
      </w:r>
    </w:p>
    <w:p>
      <w:r>
        <w:t>直接说：“I’ll use the saved screens of the same verified workflow.” 第 3 页为保留的 v73 需求截图，第 5 页为更简洁的 v74 方案截图；均为真实捕获。隐藏第 14 页是需求展望，第 15 页是联合方案，第 16 页是滚动评估，第 17 页是缺输入弃答。总计 17 页：6 主演讲、7 证据问答、4 截图备用。</w:t>
      </w:r>
    </w:p>
    <w:p>
      <w:pPr>
        <w:pStyle w:val="Heading2"/>
      </w:pPr>
      <w:r>
        <w:t>问答可扩展的画面</w:t>
      </w:r>
    </w:p>
    <w:p>
      <w:r>
        <w:t>资源账本展示容量、之前预留、本方案需要量和剩余量；查看不等于实际预留。SC16 缺少 lead_days 时必须弃答，不出现无关的六案例方案。Intelligence 中展示独立的 Exploratory rolling-origin study。旧单案例决策可重开，但不能说已保存整个联合方案。</w:t>
      </w:r>
    </w:p>
    <w:p>
      <w:pPr>
        <w:pStyle w:val="Heading2"/>
      </w:pPr>
      <w:r>
        <w:t>旧数字必须分开</w:t>
      </w:r>
    </w:p>
    <w:p>
      <w:r>
        <w:t>折叠的 Original selected-case baseline 采用每天 20 单位及原先到货假设。40 单位缺口、MYR496 和 MYR61.6 属于旧比较。新版 148 单位预测、全部到货和 25.636 单位缺口采用不同计算基础，不能拼成同一个故事。</w:t>
      </w:r>
    </w:p>
    <w:p>
      <w:r>
        <w:t>产品地址：https://dormathon-risk-private-20261007.liuyz8715.chatgpt.site/workbench.html</w:t>
      </w:r>
    </w:p>
    <w:p>
      <w:r>
        <w:br w:type="page"/>
      </w:r>
    </w:p>
    <w:p>
      <w:pPr>
        <w:pStyle w:val="Heading1"/>
      </w:pPr>
      <w:r>
        <w:t>两分钟问答备忘</w:t>
      </w:r>
    </w:p>
    <w:p>
      <w:pPr>
        <w:pStyle w:val="Heading2"/>
      </w:pPr>
      <w:r>
        <w:t>怎样证明决策更好</w:t>
      </w:r>
    </w:p>
    <w:p>
      <w:r>
        <w:t>回答：在同一需求、到货与共享资源快照下比较方案。示例把模型未满足需求从 25.636 降到 0，同时保留 1.3 小时连续运行缺口。它证明可复现的条件比较，真实收益仍需实测运营结果。</w:t>
      </w:r>
    </w:p>
    <w:p>
      <w:pPr>
        <w:pStyle w:val="Heading2"/>
      </w:pPr>
      <w:r>
        <w:t>预测结果有多强</w:t>
      </w:r>
    </w:p>
    <w:p>
      <w:r>
        <w:t>回答：UCI 外部零售数据的 8 个滚动窗口中，基于过去验证期选模的每周 WAPE 为 69.73%，同窗口 mean28 为 77.21%，低 7.48 个百分点。但每日 WAPE 为 108.53%，且历史数据已有先前暴露。不能说已验证 MR D.I.Y. 预测准确率。</w:t>
      </w:r>
    </w:p>
    <w:p>
      <w:pPr>
        <w:pStyle w:val="Heading2"/>
      </w:pPr>
      <w:r>
        <w:t>方案是最优或强化学习吗</w:t>
      </w:r>
    </w:p>
    <w:p>
      <w:r>
        <w:t>回答：不是。系统枚举六个关联案例的 72 个声明组合，默认 48 个符合约束。frontier 表示在这批组合和展示目标内，没有另一个可行方案至少改善一个目标且不恶化其他目标，不等于全局最优。</w:t>
      </w:r>
    </w:p>
    <w:p>
      <w:pPr>
        <w:pStyle w:val="Heading2"/>
      </w:pPr>
      <w:r>
        <w:t>AI 能否批准或执行</w:t>
      </w:r>
    </w:p>
    <w:p>
      <w:r>
        <w:t>回答：联合方案只读，不能保存整个方案或自动执行。GPT-OSS 120B 只解释原有单案例，不接收或背书联合方案。已有保存的人类选择也只针对单案例。</w:t>
      </w:r>
    </w:p>
    <w:p>
      <w:pPr>
        <w:pStyle w:val="Heading2"/>
      </w:pPr>
      <w:r>
        <w:t>区间是置信区间吗</w:t>
      </w:r>
    </w:p>
    <w:p>
      <w:r>
        <w:t>回答：不是。低高值来自人工构造历史的条件情景，不是校准的置信区间或缺货概率。缺少必要输入时系统弃答。</w:t>
      </w:r>
    </w:p>
    <w:p>
      <w:pPr>
        <w:pStyle w:val="Heading2"/>
      </w:pPr>
      <w:r>
        <w:t>补充数字</w:t>
      </w:r>
    </w:p>
    <w:p>
      <w:r>
        <w:t>新版不变方案的已知条件成本为 MYR323.583，示例为 MYR63.968；未计价的能源、服务和审核后果另外展示。这不是总商业价值或实际节省。默认可用现金剩余 MYR3800。发票审核是 planned，不是 completed。供电暴露也不能直接推断为接货延误。</w:t>
      </w:r>
    </w:p>
    <w:p>
      <w:pPr>
        <w:pStyle w:val="Heading2"/>
      </w:pPr>
      <w:r>
        <w:t>评估和来源</w:t>
      </w:r>
    </w:p>
    <w:p>
      <w:r>
        <w:t>新研究：2011 年 2–9 月八个 28 天测试窗，各用之前 28 天验证窗选模；89,324 个每周预测。与 mean28 的差值描述性区间为 −11.63 至 −3.71 个百分点，仅 8 个时间块、一个零售商且历史已暴露。</w:t>
        <w:br/>
        <w:t>旧研究：每日测试 WAPE 103.41%，mean28 MAE 6.974，weekly naive 7.727，ridge 7.607。新旧目标与时段不同，不能直接比较为一次准确率提升。</w:t>
        <w:br/>
        <w:t>公开背景来自 MR D.I.Y. 2025 年年报与可持续报告；数据来自 Chen 的 UCI Online Retail II，DOI 10.24432/C5CG6D，CC BY 4.0。</w:t>
      </w:r>
    </w:p>
    <w:sectPr w:rsidR="00FC693F" w:rsidRPr="0006063C" w:rsidSect="00034616">
      <w:footerReference w:type="default" r:id="rId9"/>
      <w:pgSz w:w="11909" w:h="16834"/>
      <w:pgMar w:top="1008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777777"/>
        <w:sz w:val="18"/>
      </w:rPr>
      <w:t xml:space="preserve">Dormathon  /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100"/>
    </w:pPr>
    <w:rPr>
      <w:rFonts w:ascii="Liberation Sans" w:hAnsi="Liberation Sans" w:eastAsia="Noto Sans CJK SC"/>
      <w:color w:val="000000"/>
      <w:rFonts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 w:ascii="Liberation Sans" w:hAnsi="Liberation Sans" w:eastAsia="Noto Sans CJK SC"/>
      <w:b/>
      <w:bCs/>
      <w:color w:val="000000"/>
      <w:sz w:val="40"/>
      <w:szCs w:val="28"/>
      <w:rFonts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Liberation Sans" w:hAnsi="Liberation Sans" w:eastAsia="Noto Sans CJK SC"/>
      <w:b/>
      <w:bCs/>
      <w:color w:val="000000"/>
      <w:sz w:val="25"/>
      <w:szCs w:val="26"/>
      <w:rFonts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60" w:line="240" w:lineRule="auto"/>
      <w:contextualSpacing/>
    </w:pPr>
    <w:rPr>
      <w:rFonts w:asciiTheme="majorHAnsi" w:eastAsiaTheme="majorEastAsia" w:hAnsiTheme="majorHAnsi" w:cstheme="majorBidi" w:ascii="Liberation Sans" w:hAnsi="Liberation Sans" w:eastAsia="Noto Sans CJK SC"/>
      <w:b/>
      <w:color w:val="000000"/>
      <w:spacing w:val="5"/>
      <w:kern w:val="28"/>
      <w:sz w:val="54"/>
      <w:szCs w:val="52"/>
      <w:rFonts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Liberation Sans" w:hAnsi="Liberation Sans" w:eastAsia="Noto Sans CJK SC"/>
      <w:i/>
      <w:iCs/>
      <w:color w:val="000000"/>
      <w:spacing w:val="15"/>
      <w:sz w:val="22"/>
      <w:szCs w:val="24"/>
      <w:rFonts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Liberation Sans" w:hAnsi="Liberation Sans" w:eastAsia="Noto Sans CJK SC"/>
      <w:color w:val="000000"/>
      <w:rFonts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Liberation Sans" w:hAnsi="Liberation Sans" w:eastAsia="Noto Sans CJK SC"/>
      <w:color w:val="000000"/>
      <w:rFonts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Dormathon 讲者指南</dc:title>
  <dc:subject>Hackathon presentation and verified product demonstration</dc:subject>
  <dc:creator>Taotern</dc:creator>
  <cp:keywords>Dormathon, presentation, synthetic scenario, verified demo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