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Dormathon Pitch and Demo Runbook</w:t>
      </w:r>
    </w:p>
    <w:p>
      <w:pPr>
        <w:pStyle w:val="Subtitle"/>
      </w:pPr>
      <w:r>
        <w:t>Primary format 3 minute pitch and 2 minute Q&amp;A  /  10 October 2026</w:t>
      </w:r>
    </w:p>
    <w:p>
      <w:r>
        <w:t>Use the six visible slides and the script on page 2. The remaining eleven slides are hidden from the normal slide show: seven evidence appendices and four hidden saved-screen fallbacks. Speaker notes preserve the sources and claim boundaries.</w:t>
      </w:r>
    </w:p>
    <w:p>
      <w:pPr>
        <w:pStyle w:val="Heading2"/>
      </w:pPr>
      <w:r>
        <w:t>Confirmed timing in Malaysia</w:t>
      </w:r>
    </w:p>
    <w:p>
      <w:r>
        <w:t>Review-ready target: 10 October 2026 at 20:00 MYT.</w:t>
        <w:br/>
        <w:t>Submission deadline: 11 October 2026 at 09:00 MYT.</w:t>
        <w:br/>
        <w:t>Presentation: 3 minutes, followed by 2 minutes of Q&amp;A.</w:t>
        <w:br/>
        <w:t>These dates and durations were confirmed by the owner. Malaysia time is UTC+8.</w:t>
      </w:r>
    </w:p>
    <w:p>
      <w:pPr>
        <w:pStyle w:val="Heading2"/>
      </w:pPr>
      <w:r>
        <w:t>Run of show</w:t>
      </w:r>
    </w:p>
    <w:p>
      <w:r>
        <w:t>00:00–00:15  Slide 1: beneficiary and decision</w:t>
        <w:br/>
        <w:t>00:15–00:40  Slide 2: connected problem and synthetic scope</w:t>
        <w:br/>
        <w:t>00:40–01:20  Slide 3: SC01 comparison, with live view</w:t>
        <w:br/>
        <w:t>01:20–01:50  Slide 4: shared constraints and reopened choice</w:t>
        <w:br/>
        <w:t>01:50–02:35  Slide 5: working Advisor and evidence boundary</w:t>
        <w:br/>
        <w:t>02:35–03:00  Slide 6: current proof and next validation</w:t>
        <w:br/>
        <w:t>03:00–05:00  Q&amp;A: answer the question directly, then show one relevant appendix</w:t>
      </w:r>
    </w:p>
    <w:p>
      <w:pPr>
        <w:pStyle w:val="Heading2"/>
      </w:pPr>
      <w:r>
        <w:t>Preflight</w:t>
      </w:r>
    </w:p>
    <w:p>
      <w:pPr>
        <w:pStyle w:val="ListBullet"/>
      </w:pPr>
      <w:r>
        <w:t>Download the PPTX and this runbook. Open the PPTX in the actual presentation software and check fonts, chart rendering and hidden-slide access. The supplied deck was exported and rendered through Artifact Tool; it was not inspected in desktop PowerPoint.</w:t>
      </w:r>
    </w:p>
    <w:p>
      <w:pPr>
        <w:pStyle w:val="ListBullet"/>
      </w:pPr>
      <w:r>
        <w:t>Open a fresh browser session and confirm zero session reservations. Preload SC01 Strategy and the existing saved selected record. Keep assumptions unchanged. A cached Advisor response is a replay of an earlier provider request, not a fresh call.</w:t>
      </w:r>
    </w:p>
    <w:p>
      <w:pPr>
        <w:pStyle w:val="ListBullet"/>
      </w:pPr>
      <w:r>
        <w:t>Keep the screenshot fallbacks ready in the slide navigator. If the live product stalls, say “I’ll use the saved screens of the same verified workflow.” Switch immediately and keep speaking.</w:t>
      </w:r>
    </w:p>
    <w:p>
      <w:pPr>
        <w:pStyle w:val="ListBullet"/>
      </w:pPr>
      <w:r>
        <w:t>Use one timed rehearsal with the actual display. If over time, shorten only the sentence listing the forty-case scope. Keep the user/problem introduction, synthetic-data qualification and brief high-WAPE limitation.</w:t>
      </w:r>
    </w:p>
    <w:p>
      <w:r>
        <w:t>Product: https://dormathon-risk-private-20261007.liuyz8715.chatgpt.site/workbench.html</w:t>
      </w:r>
    </w:p>
    <w:p>
      <w:r>
        <w:br w:type="page"/>
      </w:r>
    </w:p>
    <w:p>
      <w:pPr>
        <w:pStyle w:val="Heading1"/>
      </w:pPr>
      <w:r>
        <w:t>Three minute pitch script</w:t>
      </w:r>
    </w:p>
    <w:p>
      <w:pPr>
        <w:pStyle w:val="Subtitle"/>
      </w:pPr>
      <w:r>
        <w:t>The six main slides form the primary show. Browser actions happen while speaking.</w:t>
      </w:r>
    </w:p>
    <w:p>
      <w:pPr>
        <w:pStyle w:val="Heading2"/>
      </w:pPr>
      <w:r>
        <w:t>Slide 1  00:00–00:15</w:t>
      </w:r>
    </w:p>
    <w:p>
      <w:r>
        <w:t>A regional operations lead sees a delivery arriving late. Protecting service may require stock from another store, invoice review or a different receiving window. Dormathon brings the connected exceptions and their evidence into one decision workspace.</w:t>
      </w:r>
    </w:p>
    <w:p>
      <w:pPr>
        <w:pStyle w:val="Heading2"/>
      </w:pPr>
      <w:r>
        <w:t>Slide 2  00:15–00:40</w:t>
      </w:r>
    </w:p>
    <w:p>
      <w:r>
        <w:t>Those choices compete for shared resources. Our MR D.I.Y. Malaysia demonstration uses public operating context and explicitly synthetic internal data. It contains forty linked cases across supply, procurement, service and energy security. Six deep cases follow one replenishment episode.</w:t>
      </w:r>
    </w:p>
    <w:p>
      <w:pPr>
        <w:pStyle w:val="Heading2"/>
      </w:pPr>
      <w:r>
        <w:t>Slide 3  00:40–01:20</w:t>
      </w:r>
    </w:p>
    <w:p>
      <w:r>
        <w:t>Here, sixty available units cover three days, but delivery takes five. That leaves forty units uncovered. Under identical seven-day assumptions, no change costs MYR 496. A feasible forty-unit transfer costs MYR 61.60 with no simulated shortage. These are conditional scenario costs, not measured company savings.</w:t>
      </w:r>
    </w:p>
    <w:p>
      <w:pPr>
        <w:pStyle w:val="Heading2"/>
      </w:pPr>
      <w:r>
        <w:t>Slide 4  01:20–01:50</w:t>
      </w:r>
    </w:p>
    <w:p>
      <w:r>
        <w:t>Every case draws from shared stock, cash and capacity. An option can fail when another case reserves the resource. The human can choose or reject an action, then reopen its frozen evidence. Unknown lead time produces an abstention. GPT-OSS 120B explains the governed case facts and executes no decision.</w:t>
      </w:r>
    </w:p>
    <w:p>
      <w:pPr>
        <w:pStyle w:val="Heading2"/>
      </w:pPr>
      <w:r>
        <w:t>Slide 5  01:50–02:35</w:t>
      </w:r>
    </w:p>
    <w:p>
      <w:r>
        <w:t>This is the working Advisor. It explains the case using its sources and declared assumptions. Calculations remain authoritative, and missing inputs produce an abstention. We verified a normal explanation and a missing-lead-time case. The screenshot shows a replay of an earlier live request. Our external forecasting study remains separate and weak, with test WAPE of 103.41 percent. We make no company-accuracy claim. Full benchmark results are in appendix 16.</w:t>
      </w:r>
    </w:p>
    <w:p>
      <w:pPr>
        <w:pStyle w:val="Heading2"/>
      </w:pPr>
      <w:r>
        <w:t>Slide 6  02:35–03:00</w:t>
      </w:r>
    </w:p>
    <w:p>
      <w:r>
        <w:t>Dormathon is a working retail decision workspace: connected cases, feasible comparisons and a human choice that can be reopened. A scoped pilot would measure warning quality and decision cost using observed operational labels. The immediate value is a decision the lead can inspect before acting and review afterward.</w:t>
      </w:r>
    </w:p>
    <w:p>
      <w:r>
        <w:br w:type="page"/>
      </w:r>
    </w:p>
    <w:p>
      <w:pPr>
        <w:pStyle w:val="Heading1"/>
      </w:pPr>
      <w:r>
        <w:t>Verified demo runbook</w:t>
      </w:r>
    </w:p>
    <w:p>
      <w:pPr>
        <w:pStyle w:val="Heading2"/>
      </w:pPr>
      <w:r>
        <w:t>Prepared browser views within the three minute pitch</w:t>
      </w:r>
    </w:p>
    <w:p>
      <w:r>
        <w:t>For the short pitch, preload SC01 Strategy and the saved decision before starting. Show the comparison during slide 3 and the reopened choice during slide 4. Do not navigate the full product tour live. The full route below is for setup and rehearsal.</w:t>
      </w:r>
    </w:p>
    <w:p>
      <w:pPr>
        <w:pStyle w:val="ListNumber"/>
      </w:pPr>
      <w:r>
        <w:t>Open Home, then Open Organization. Choose SC01 Demand-driven replenishment. Confirm “MR D.I.Y. Malaysia · synthetic” and the forty-unit uncovered-demand result.</w:t>
      </w:r>
    </w:p>
    <w:p>
      <w:pPr>
        <w:pStyle w:val="ListNumber"/>
      </w:pPr>
      <w:r>
        <w:t>Choose Compare in Strategy. The first alternatives show no change at MYR 496 and the practical transfer rule at MYR 61.6. Point to shortage 40 versus 0. Explain the common assumptions and the conditional recommendation.</w:t>
      </w:r>
    </w:p>
    <w:p>
      <w:pPr>
        <w:pStyle w:val="ListNumber"/>
      </w:pPr>
      <w:r>
        <w:t>Scroll to Saved demo decisions. Click the existing row “selected · demo_supply_01 · 2026-10-10T05:20:54.573000Z”. The reopened record shows verification “ok”, action practical_rule, the original rationale and the frozen snapshot.</w:t>
      </w:r>
    </w:p>
    <w:p>
      <w:r>
        <w:t>Existing record: mrdiy_decision_02d98941-8632-4af4-9ab4-d9a32e2220c6. A full reload followed by clicking this saved row was verified on Site v71. It records a planned synthetic choice; no inventory moved.</w:t>
      </w:r>
    </w:p>
    <w:p>
      <w:pPr>
        <w:pStyle w:val="Heading2"/>
      </w:pPr>
      <w:r>
        <w:t>Stable entry points</w:t>
      </w:r>
    </w:p>
    <w:p>
      <w:r>
        <w:t>https://dormathon-risk-private-20261007.liuyz8715.chatgpt.site/workbench.html?view=decisions&amp;time_basis=source&amp;mrdiy_case=demo_supply_01</w:t>
      </w:r>
    </w:p>
    <w:p>
      <w:r>
        <w:t>https://dormathon-risk-private-20261007.liuyz8715.chatgpt.site/workbench.html?view=strategy&amp;time_basis=source&amp;mrdiy_case=demo_supply_01</w:t>
      </w:r>
    </w:p>
    <w:p>
      <w:r>
        <w:t>https://dormathon-risk-private-20261007.liuyz8715.chatgpt.site/workbench.html?view=decisions&amp;time_basis=source&amp;mrdiy_case=mrdiy_supply_16</w:t>
      </w:r>
    </w:p>
    <w:p>
      <w:pPr>
        <w:pStyle w:val="Heading2"/>
      </w:pPr>
      <w:r>
        <w:t>Optional Q&amp;A branches</w:t>
      </w:r>
    </w:p>
    <w:p>
      <w:pPr>
        <w:pStyle w:val="ListBullet"/>
      </w:pPr>
      <w:r>
        <w:t>SC16: show missing lead_days, unknown arrival and uncovered demand, then the abstaining Advisor. This demonstrates a truthful insufficient-input path.</w:t>
      </w:r>
    </w:p>
    <w:p>
      <w:pPr>
        <w:pStyle w:val="ListBullet"/>
      </w:pPr>
      <w:r>
        <w:t>Advisor on SC01: show the explanation and source list. Cached replays preserve prior provider output. Avoid claiming a fresh inference unless the UI confirms one.</w:t>
      </w:r>
    </w:p>
    <w:p>
      <w:pPr>
        <w:pStyle w:val="ListBullet"/>
      </w:pPr>
      <w:r>
        <w:t>SC17 or SC18: show invoice/approval holds. SC27: show qualification constraints. SC35: show safe continuity options and a rejected unsafe-load option. These are connected functional cases, not separately validated predictive models.</w:t>
      </w:r>
    </w:p>
    <w:p>
      <w:pPr>
        <w:pStyle w:val="ListBullet"/>
      </w:pPr>
      <w:r>
        <w:t>Intelligence: open the external benchmark. Keep its source identity, dates and high-error warning visible. It never supplies MR D.I.Y. operational rows.</w:t>
      </w:r>
    </w:p>
    <w:p>
      <w:pPr>
        <w:pStyle w:val="Heading2"/>
      </w:pPr>
      <w:r>
        <w:t>Offline route</w:t>
      </w:r>
    </w:p>
    <w:p>
      <w:r>
        <w:t>Slide 13: organization. Slide 14: SC01 comparison. Slide 15: reopened human choice. Slide 5 already contains the saved model-response replay. Slide 17: missing-input abstention. Appendix 16 contains the full benchmark chart. Use the slide navigator because these slides are hidden from the normal show. Raw screenshots in the portable package preserve readable full-size views.</w:t>
      </w:r>
    </w:p>
    <w:p>
      <w:r>
        <w:t>If any screen fails, use its saved version. If saving is unavailable, show the already persisted choice. If the model is unavailable, use deterministic evidence and its prior labeled response. Do not claim an unavailable action succeeded.</w:t>
      </w:r>
    </w:p>
    <w:p>
      <w:r>
        <w:br w:type="page"/>
      </w:r>
    </w:p>
    <w:p>
      <w:pPr>
        <w:pStyle w:val="Heading1"/>
      </w:pPr>
      <w:r>
        <w:t>Two minute Q&amp;A</w:t>
      </w:r>
    </w:p>
    <w:p>
      <w:r>
        <w:t>Give a direct answer in 15–25 seconds, then stop. Use an appendix only when the question needs evidence. The exact questions are unknown. The four below are the most likely pressure points.</w:t>
      </w:r>
    </w:p>
    <w:p>
      <w:pPr>
        <w:pStyle w:val="Heading2"/>
      </w:pPr>
      <w:r>
        <w:t>Are the company data and savings real</w:t>
      </w:r>
    </w:p>
    <w:p>
      <w:r>
        <w:t>“MR D.I.Y. reports provide public operating context. Our internal records and incidents are synthetic. MYR 496 versus MYR 61.60 is a conditional scenario comparison. We have not measured company savings or received an endorsement.”</w:t>
      </w:r>
    </w:p>
    <w:p>
      <w:r>
        <w:t>Show appendix slide 10 for the cost components, or slide 12 for the evidence boundary.</w:t>
      </w:r>
    </w:p>
    <w:p>
      <w:pPr>
        <w:pStyle w:val="Heading2"/>
      </w:pPr>
      <w:r>
        <w:t>What does WAPE of 103 point 41 percent mean</w:t>
      </w:r>
    </w:p>
    <w:p>
      <w:r>
        <w:t>“It means absolute error is high relative to actual recorded sales. Validation retained the best tested baseline, but we still report the weakness. Sparse sales remain in the frozen test. We need better operational evidence before claiming useful company forecasting.”</w:t>
      </w:r>
    </w:p>
    <w:p>
      <w:r>
        <w:t>Show appendix slide 16 for results or appendix slide 9 for the frozen split. WAPE is not an accuracy percentage. A posthoc all-zero diagnostic has WAPE 100%; it did not change model selection.</w:t>
      </w:r>
    </w:p>
    <w:p>
      <w:pPr>
        <w:pStyle w:val="Heading2"/>
      </w:pPr>
      <w:r>
        <w:t>What is the contribution if the predictor is simple</w:t>
      </w:r>
    </w:p>
    <w:p>
      <w:r>
        <w:t>“The implemented contribution is the connected decision workflow: traceable evidence, shared-resource constraints and a saved human choice. The forecast study is reproducible. We do not claim a novel algorithm or trained reinforcement-learning policy.”</w:t>
      </w:r>
    </w:p>
    <w:p>
      <w:r>
        <w:t>Show appendix slide 7 for the forty-case scope or slide 8 for the evidence architecture.</w:t>
      </w:r>
    </w:p>
    <w:p>
      <w:pPr>
        <w:pStyle w:val="Heading2"/>
      </w:pPr>
      <w:r>
        <w:t>What can the language model do</w:t>
      </w:r>
    </w:p>
    <w:p>
      <w:r>
        <w:t>“GPT-OSS 120B explains the server-rebuilt case facts. Deterministic calculations remain authoritative. Two live scenarios passed, including a missing-input case. The person decides; the model does not place orders, pay invoices or control equipment.”</w:t>
      </w:r>
    </w:p>
    <w:p>
      <w:r>
        <w:t>Show slide 5 for the saved explanation or slide 17 for abstention. A stored replay is not a fresh request. Two cases do not establish all-case accuracy.</w:t>
      </w:r>
    </w:p>
    <w:p>
      <w:pPr>
        <w:pStyle w:val="Heading2"/>
      </w:pPr>
      <w:r>
        <w:t>If asked about deployment readiness</w:t>
      </w:r>
    </w:p>
    <w:p>
      <w:r>
        <w:t>Describe a functional prototype with a bounded external study. A real pilot still needs authorized operational data, observed stockout or event labels, privacy and access controls appropriate to that deployment, and a controlled test of warning quality and decision costs. Do not promise a company pilot or an unagreed delivery date.</w:t>
      </w:r>
    </w:p>
    <w:p>
      <w:r>
        <w:br w:type="page"/>
      </w:r>
    </w:p>
    <w:p>
      <w:pPr>
        <w:pStyle w:val="Heading1"/>
      </w:pPr>
      <w:r>
        <w:t>Study and source notes</w:t>
      </w:r>
    </w:p>
    <w:p>
      <w:pPr>
        <w:pStyle w:val="Heading2"/>
      </w:pPr>
      <w:r>
        <w:t>External forecasting protocol</w:t>
      </w:r>
    </w:p>
    <w:p>
      <w:r>
        <w:t>UCI Online Retail II describes a UK non-store retailer in 2009–2011. The target is positive recorded item transaction sales in units, used as a demand proxy. Returns, cancellations and invalid or non-product rows follow frozen exclusion rules. A complete-ledger assumption interprets absent interior SKU dates as zero recorded sales; this does not establish zero latent demand. All 135 whole-ledger transaction-free dates remain disclosed.</w:t>
      </w:r>
    </w:p>
    <w:p>
      <w:r>
        <w:t>Training: 1 December 2009–13 October 2011. Validation: 14 October–10 November 2011. Primary test: 11 November–8 December 2011. The final transaction date is excluded as incomplete. Training-only eligibility retains 3,231 known SKUs. Twenty-two daily origins and seven horizons produce 497,574 forecast tasks, versus 90,468 unique item-days.</w:t>
      </w:r>
    </w:p>
    <w:p>
      <w:r>
        <w:t>The study assumes retrospective transaction-time availability. Historical acquisition logs, stockouts, real inventory, supplier lead times and delivery outcomes are unavailable. It establishes neither cold-start performance nor cross-company generalization. Source rows never enter the MR D.I.Y. operational namespace.</w:t>
      </w:r>
    </w:p>
    <w:p>
      <w:pPr>
        <w:pStyle w:val="Heading2"/>
      </w:pPr>
      <w:r>
        <w:t>Metric detail for a technical question</w:t>
      </w:r>
    </w:p>
    <w:p>
      <w:r>
        <w:t>Test MAE, units: weekly naive 7.727; retained 28-day mean 6.974; direct ridge 7.607. Retained-mean test WAPE: 103.41%. WAPE is total absolute error divided by actual units over the forecast tasks. Ridge-minus-mean WAPE is +9.38 percentage points, with a descriptive bootstrap interval of +7.05 to +12.65 points. Four short time blocks limit inference. No direct mean-minus-weekly-naive confidence interval was supplied, so no significance claim is made for that pair.</w:t>
      </w:r>
    </w:p>
    <w:p>
      <w:pPr>
        <w:pStyle w:val="Heading2"/>
      </w:pPr>
      <w:r>
        <w:t>Company scope</w:t>
      </w:r>
    </w:p>
    <w:p>
      <w:r>
        <w:t>Public FY2025 reporting for MR D.I.Y. Group (M) Berhad generally includes Malaysia and Brunei unless otherwise stated. The demonstration is a separate synthetic Malaysia hardware/household workspace. The company reports existing analytics, warehouse automation and service systems. The prototype illustrates connected exception handling alongside those systems and implies no access, partnership or endorsement.</w:t>
      </w:r>
    </w:p>
    <w:p>
      <w:pPr>
        <w:pStyle w:val="Heading2"/>
      </w:pPr>
      <w:r>
        <w:t>Primary sources</w:t>
      </w:r>
    </w:p>
    <w:p>
      <w:r>
        <w:t>Chen, D. (2012). Online Retail II [Dataset]. UCI Machine Learning Repository. DOI 10.24432/C5CG6D. CC BY 4.0. https://archive.ics.uci.edu/dataset/502/online+retail+ii</w:t>
      </w:r>
    </w:p>
    <w:p>
      <w:r>
        <w:t>MR D.I.Y. Integrated Annual Report 2025. https://mrdiy.listedcompany.com/misc/ar/MRDIY_AR2025.pdf</w:t>
      </w:r>
    </w:p>
    <w:p>
      <w:r>
        <w:t>MR D.I.Y. Sustainability Report 2025, printed pp2,33,37–40,47–49. https://corporate.mrdiy.com/misc/sustainability/MRDIY-Sustainability_Report_2025.pdf</w:t>
      </w:r>
    </w:p>
    <w:p>
      <w:r>
        <w:t>Project evidence: approved Specs v0.4.1; operational mechanics v0.4.1.1; frozen benchmark report; dated Site v71 journey verification. Screenshots retain their v71 labels. Each slide’s speaker notes identify its supporting source.</w:t>
      </w:r>
    </w:p>
    <w:sectPr w:rsidR="00FC693F" w:rsidRPr="0006063C" w:rsidSect="00034616">
      <w:footerReference w:type="default" r:id="rId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8"/>
      </w:rPr>
      <w:t xml:space="preserve">Dormathon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Liberation Sans" w:hAnsi="Liberation Sans" w:eastAsia="Noto Sans CJK SC"/>
      <w:color w:val="171717"/>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Liberation Sans" w:hAnsi="Liberation Sans" w:eastAsia="Noto Sans CJK SC"/>
      <w:b/>
      <w:bCs/>
      <w:color w:val="171717"/>
      <w:sz w:val="40"/>
      <w:szCs w:val="28"/>
      <w:rFonts/>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Noto Sans CJK SC"/>
      <w:b/>
      <w:bCs/>
      <w:color w:val="171717"/>
      <w:sz w:val="25"/>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Liberation Sans" w:hAnsi="Liberation Sans" w:eastAsia="Noto Sans CJK SC"/>
      <w:b/>
      <w:color w:val="171717"/>
      <w:spacing w:val="5"/>
      <w:kern w:val="28"/>
      <w:sz w:val="5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Noto Sans CJK SC"/>
      <w:i/>
      <w:iCs/>
      <w:color w:val="626262"/>
      <w:spacing w:val="15"/>
      <w:sz w:val="22"/>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Noto Sans CJK SC"/>
      <w:color w:val="171717"/>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Noto Sans CJK SC"/>
      <w:color w:val="171717"/>
      <w:rFont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Dormathon Pitch and Demo Runbook</dc:title>
  <dc:subject>Hackathon presentation and verified product demonstration</dc:subject>
  <dc:creator>Taotern</dc:creator>
  <cp:keywords>Dormathon, presentation, synthetic scenario, verified demo</cp:keywords>
  <dc:description>generated by python-docx</dc:description>
  <cp:lastModifiedBy/>
  <cp:revision>1</cp:revision>
  <dcterms:created xsi:type="dcterms:W3CDTF">2013-12-23T23:15:00Z</dcterms:created>
  <dcterms:modified xsi:type="dcterms:W3CDTF">2013-12-23T23:15:00Z</dcterms:modified>
  <cp:category/>
</cp:coreProperties>
</file>