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Dormathon 中文讲者指南</w:t>
      </w:r>
    </w:p>
    <w:p>
      <w:pPr>
        <w:pStyle w:val="Subtitle"/>
      </w:pPr>
      <w:r>
        <w:t>主演讲 3 分钟  /  问答 2 分钟  /  2026 年 10 月 10 日</w:t>
      </w:r>
    </w:p>
    <w:p>
      <w:r>
        <w:t>主线是“一位区域运营负责人，如何在同一套资源约束下处理互相关联的异常，并留下可复查的人类决策”。六张可见幻灯片构成正式演讲；其余十一张为隐藏附录与截图备用页。</w:t>
      </w:r>
    </w:p>
    <w:p>
      <w:pPr>
        <w:pStyle w:val="Heading2"/>
      </w:pPr>
      <w:r>
        <w:t>已确认的时间安排</w:t>
      </w:r>
    </w:p>
    <w:p>
      <w:r>
        <w:t>今晚 10 月 10 日 20:00 前达到可审阅状态。</w:t>
        <w:br/>
        <w:t>明天 10 月 11 日 09:00 提交截止。</w:t>
        <w:br/>
        <w:t>现场演讲严格 3 分钟，随后问答 2 分钟。</w:t>
        <w:br/>
        <w:t>以上均为马来西亚时间 MYT，即 UTC+8，由你确认。</w:t>
      </w:r>
    </w:p>
    <w:p>
      <w:pPr>
        <w:pStyle w:val="Heading2"/>
      </w:pPr>
      <w:r>
        <w:t>三分钟节奏</w:t>
      </w:r>
    </w:p>
    <w:p>
      <w:r>
        <w:t>第 1 页，00:00–00:15：负责人遇到延迟到货，需要做决定。</w:t>
        <w:br/>
        <w:t>第 2 页，00:15–00:40：相互影响的业务流程，说明内部数据为合成。</w:t>
        <w:br/>
        <w:t>第 3 页，00:40–01:20：SC01 的 40 单位缺口与成本比较，展示预先打开的实机。</w:t>
        <w:br/>
        <w:t>第 4 页，01:20–01:50：共享资源限制，展示已有决策的重开结果。</w:t>
        <w:br/>
        <w:t>第 5 页，01:50–02:35：展示真实产品 Advisor 截图，说明证据边界，并简短披露预测误差。</w:t>
        <w:br/>
        <w:t>第 6 页，02:35–03:00：目前证明了什么，下一步怎样验证。</w:t>
      </w:r>
    </w:p>
    <w:p>
      <w:pPr>
        <w:pStyle w:val="Heading2"/>
      </w:pPr>
      <w:r>
        <w:t>必须保留的四句话</w:t>
      </w:r>
    </w:p>
    <w:p>
      <w:pPr>
        <w:pStyle w:val="ListBullet"/>
      </w:pPr>
      <w:r>
        <w:t>“MR D.I.Y. 公开报告提供业务背景，内部记录和事件全部是合成示例。”</w:t>
      </w:r>
    </w:p>
    <w:p>
      <w:pPr>
        <w:pStyle w:val="ListBullet"/>
      </w:pPr>
      <w:r>
        <w:t>“MYR 496 与 MYR 61.60 是同一假设下的情景成本，不是实际节省。”</w:t>
      </w:r>
    </w:p>
    <w:p>
      <w:pPr>
        <w:pStyle w:val="ListBullet"/>
      </w:pPr>
      <w:r>
        <w:t>“28 天均值的测试 WAPE 为 103.41%，预测质量仍然较弱。”</w:t>
      </w:r>
    </w:p>
    <w:p>
      <w:pPr>
        <w:pStyle w:val="ListBullet"/>
      </w:pPr>
      <w:r>
        <w:t>“系统记录人类计划或拒绝，不下单、不付款、不调度员工、不控制设备。”</w:t>
      </w:r>
    </w:p>
    <w:p>
      <w:pPr>
        <w:pStyle w:val="Heading2"/>
      </w:pPr>
      <w:r>
        <w:t>精简优先级</w:t>
      </w:r>
    </w:p>
    <w:p>
      <w:r>
        <w:t>现场只展示已经预加载的成本比较与重开的记录，不完整遍历导航。若排练超时，缩短案例数量介绍，把详细评估、架构和燃油互动留到问答。保留 synthetic 说明、条件性成本与 WAPE 局限。</w:t>
      </w:r>
    </w:p>
    <w:p>
      <w:r>
        <w:br w:type="page"/>
      </w:r>
    </w:p>
    <w:p>
      <w:pPr>
        <w:pStyle w:val="Heading1"/>
      </w:pPr>
      <w:r>
        <w:t>上台前与实机操作</w:t>
      </w:r>
    </w:p>
    <w:p>
      <w:pPr>
        <w:pStyle w:val="Heading2"/>
      </w:pPr>
      <w:r>
        <w:t>上台前五分钟</w:t>
      </w:r>
    </w:p>
    <w:p>
      <w:pPr>
        <w:pStyle w:val="ListNumber"/>
      </w:pPr>
      <w:r>
        <w:t>先下载 PPTX，用现场电脑的软件打开。检查字体、图表、幻灯片备注和隐藏页是否正常。当前文件通过了生成器的导出及图像检查，没有在桌面 PowerPoint 内实测。</w:t>
      </w:r>
    </w:p>
    <w:p>
      <w:pPr>
        <w:pStyle w:val="ListNumber"/>
      </w:pPr>
      <w:r>
        <w:t>浏览器打开产品，使用干净会话并确认共享预留数为 0。预先打开 SC01 的 Strategy 与保存记录。三分钟演讲不要临时改假设，也不要做未验证的清理操作。</w:t>
      </w:r>
    </w:p>
    <w:p>
      <w:pPr>
        <w:pStyle w:val="ListNumber"/>
      </w:pPr>
      <w:r>
        <w:t>备用打开 SC16 和 Intelligence 中的外部评估。Advisor 的缓存回放是之前真实模型请求的结果，不能说每次点击都新调用了模型。</w:t>
      </w:r>
    </w:p>
    <w:p>
      <w:pPr>
        <w:pStyle w:val="ListNumber"/>
      </w:pPr>
      <w:r>
        <w:t>把隐藏的 13–15 页及第 17 页放在容易跳转的位置，网络问题出现就切截图，不现场排障。</w:t>
      </w:r>
    </w:p>
    <w:p>
      <w:pPr>
        <w:pStyle w:val="Heading2"/>
      </w:pPr>
      <w:r>
        <w:t>一分钟实机路线</w:t>
      </w:r>
    </w:p>
    <w:p>
      <w:r>
        <w:t>Home → Open Organization → SC01 Demand-driven replenishment → Compare in Strategy。先指出 synthetic 标识，再指出 60 单位可用库存、每日 20 单位、5 天后到货、40 单位缺口。</w:t>
      </w:r>
    </w:p>
    <w:p>
      <w:r>
        <w:t>在方案列表第一屏比较 No change 与 Reorder-point rule。两者短缺为 40 与 0，模拟成本为 MYR 496 与 MYR 61.6。说清楚：同一周期、同一库存和相同外生路径，成本参数是公开的情景假设。</w:t>
      </w:r>
    </w:p>
    <w:p>
      <w:r>
        <w:t>向下滚动到 Saved demo decisions，点击已有的 selected · demo_supply_01 · 2026-10-10T05:20:54.573000Z。已验证刷新页面后仍能重开：verification 为 ok、practical_rule 被选中、原理由与冻结快照保留。无需上台时再保存一次。</w:t>
      </w:r>
    </w:p>
    <w:p>
      <w:pPr>
        <w:pStyle w:val="Heading2"/>
      </w:pPr>
      <w:r>
        <w:t>可直接使用的地址</w:t>
      </w:r>
    </w:p>
    <w:p>
      <w:r>
        <w:t>https://dormathon-risk-private-20261007.liuyz8715.chatgpt.site/workbench.html?view=strategy&amp;time_basis=source&amp;mrdiy_case=demo_supply_01</w:t>
      </w:r>
    </w:p>
    <w:p>
      <w:r>
        <w:t>https://dormathon-risk-private-20261007.liuyz8715.chatgpt.site/workbench.html?view=decisions&amp;time_basis=source&amp;mrdiy_case=mrdiy_supply_16</w:t>
      </w:r>
    </w:p>
    <w:p>
      <w:pPr>
        <w:pStyle w:val="Heading2"/>
      </w:pPr>
      <w:r>
        <w:t>断网或接口失败</w:t>
      </w:r>
    </w:p>
    <w:p>
      <w:r>
        <w:t>直接说：“I’ll use the saved screens of the same verified workflow.” 隐藏页 13 展示组织，14 展示成本比较，15 展示重开的决策，主演讲第 5 页展示先前模型回答的回放，第 17 页展示缺输入时弃答；第 16 页是完整评估图表。文件包中也保留了原始截图，可全尺寸查看。</w:t>
      </w:r>
    </w:p>
    <w:p>
      <w:r>
        <w:t>保存失败就展示已经持久保存的记录，LLM 不可用就展示规则计算和带来源的既有解释。不要把截图说成实机，也不要把失败的动作说成成功。</w:t>
      </w:r>
    </w:p>
    <w:p>
      <w:r>
        <w:br w:type="page"/>
      </w:r>
    </w:p>
    <w:p>
      <w:pPr>
        <w:pStyle w:val="Heading1"/>
      </w:pPr>
      <w:r>
        <w:t>答辩口径与数字解释</w:t>
      </w:r>
    </w:p>
    <w:p>
      <w:r>
        <w:t>问答总共 2 分钟。每题先用 15–25 秒直接回答，只展示一张对应附录。不要为了覆盖所有内容主动延长。成本明细看第 10 页；评估结果看第 16 页，切分看第 9 页；架构看第 8 页；缺输入弃答看第 17 页。</w:t>
      </w:r>
    </w:p>
    <w:p>
      <w:pPr>
        <w:pStyle w:val="Heading2"/>
      </w:pPr>
      <w:r>
        <w:t>为什么 WAPE 超过 100 百分比</w:t>
      </w:r>
    </w:p>
    <w:p>
      <w:r>
        <w:t>WAPE 是绝对误差之和除以实际销量之和，不是“准确率的反面”。销售非常稀疏，冻结测试集保留了不活跃 SKU。28 天均值虽好于本次测试的周季节朴素法与 ridge，但质量仍弱。事后加入的全零诊断 WAPE 为 100%，只是解释指标的局限，没有据此重选模型或改变原测试。</w:t>
      </w:r>
    </w:p>
    <w:p>
      <w:pPr>
        <w:pStyle w:val="Heading2"/>
      </w:pPr>
      <w:r>
        <w:t>为什么使用简单均值还值得展示</w:t>
      </w:r>
    </w:p>
    <w:p>
      <w:r>
        <w:t>可以强调完整可复现的评估，以及证据到决策的工作流：关联对象、公开假设、共享资源、可行性检查、保存人类选择。不能声称算法创新、强预测性能、验证过的强化学习或实证商业收益。</w:t>
      </w:r>
    </w:p>
    <w:p>
      <w:pPr>
        <w:pStyle w:val="Heading2"/>
      </w:pPr>
      <w:r>
        <w:t>SC01 数字如何得出</w:t>
      </w:r>
    </w:p>
    <w:p>
      <w:r>
        <w:t>可用库存 60 ÷ 每日销量假设 20 = 3 天覆盖。假设第 5 天到货，因此到货前缺 40 单位。7 天内，不变方案成本为 40 × MYR12 短缺惩罚 + MYR16 持有成本 = MYR496；调拨方案为 40 × MYR1 + MYR21.60 持有成本 = MYR61.60。差值 MYR434.40 是情景差值，不是实际利润。</w:t>
      </w:r>
    </w:p>
    <w:p>
      <w:pPr>
        <w:pStyle w:val="Heading2"/>
      </w:pPr>
      <w:r>
        <w:t>预测证据范围</w:t>
      </w:r>
    </w:p>
    <w:p>
      <w:r>
        <w:t>UCI Online Retail II 是 2009–2011 年英国非门店零售商的数据。训练到 2011 年 10 月 13 日，验证为 10 月 14 日至 11 月 10 日，主测试为 11 月 11 日至 12 月 8 日。3,231 个已知 SKU，7 个逐日预测步长。测试 MAE：周朴素法 7.727，28 天均值 6.974，ridge 7.607。不要给均值对周朴素法添加并不存在的置信区间或显著性结论。</w:t>
      </w:r>
    </w:p>
    <w:p>
      <w:pPr>
        <w:pStyle w:val="Heading2"/>
      </w:pPr>
      <w:r>
        <w:t>公司与模型关系</w:t>
      </w:r>
    </w:p>
    <w:p>
      <w:r>
        <w:t>没有接入 MR D.I.Y. 内部系统，也没有公司合作或背书。公开报告说明公司已有分析、仓储自动化、采购和服务系统，因此产品定位是辅助处理跨流程异常。模型只解释服务端重建的案例事实；计算规则继续决定数字。检索基线是词项匹配，不能笼统宣称全面语义搜索或全球实时完整覆盖。</w:t>
      </w:r>
    </w:p>
    <w:p>
      <w:pPr>
        <w:pStyle w:val="Heading2"/>
      </w:pPr>
      <w:r>
        <w:t>收尾</w:t>
      </w:r>
    </w:p>
    <w:p>
      <w:r>
        <w:t>“我们现在能展示可复查的决策工作流。下一步应在有授权的运营试点中，用真实库存与事件标签验证告警质量、提前量以及同等约束下的决策成本。” 这是建议，不是已约定的试点或交付承诺。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 xml:space="preserve">Dormathon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Liberation Sans" w:hAnsi="Liberation Sans" w:eastAsia="Noto Sans CJK SC"/>
      <w:color w:val="171717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1717"/>
      <w:sz w:val="4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1717"/>
      <w:sz w:val="25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71717"/>
      <w:spacing w:val="5"/>
      <w:kern w:val="28"/>
      <w:sz w:val="5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626262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Noto Sans CJK SC"/>
      <w:color w:val="171717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Noto Sans CJK SC"/>
      <w:color w:val="171717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Dormathon 讲者指南</dc:title>
  <dc:subject>Hackathon presentation and verified product demonstration</dc:subject>
  <dc:creator>Taotern</dc:creator>
  <cp:keywords>Dormathon, presentation, synthetic scenario, verified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