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550FD" w14:textId="0124EAD7" w:rsidR="007A7F04" w:rsidRPr="007A4F46" w:rsidRDefault="007A7F04" w:rsidP="002805AE">
      <w:pPr>
        <w:spacing w:line="240" w:lineRule="auto"/>
        <w:rPr>
          <w:rFonts w:ascii="Calibri" w:hAnsi="Calibri" w:cs="Calibri"/>
        </w:rPr>
      </w:pPr>
      <w:r w:rsidRPr="007A4F46">
        <w:rPr>
          <w:rFonts w:ascii="Calibri" w:hAnsi="Calibri" w:cs="Calibri"/>
        </w:rPr>
        <w:t xml:space="preserve">Le rejet de l'ancien business model est judicieux </w:t>
      </w:r>
      <w:r w:rsidR="00BC5010" w:rsidRPr="007A4F46">
        <w:rPr>
          <w:rFonts w:ascii="Calibri" w:hAnsi="Calibri" w:cs="Calibri"/>
        </w:rPr>
        <w:t>dans le sens où l’on</w:t>
      </w:r>
      <w:r w:rsidRPr="007A4F46">
        <w:rPr>
          <w:rFonts w:ascii="Calibri" w:hAnsi="Calibri" w:cs="Calibri"/>
        </w:rPr>
        <w:t xml:space="preserve"> cherche à résoudre des défis comme la concurrence intense ou l'acquisition d'utilisateurs. En collaborant directement avec les médias, nous ciblons une clientèle B2B (business-to-business), ce qui peut offrir un modèle économique plus solide et une meilleure valorisation de </w:t>
      </w:r>
      <w:r w:rsidR="00511BBF" w:rsidRPr="007A4F46">
        <w:rPr>
          <w:rFonts w:ascii="Calibri" w:hAnsi="Calibri" w:cs="Calibri"/>
        </w:rPr>
        <w:t>n</w:t>
      </w:r>
      <w:r w:rsidRPr="007A4F46">
        <w:rPr>
          <w:rFonts w:ascii="Calibri" w:hAnsi="Calibri" w:cs="Calibri"/>
        </w:rPr>
        <w:t>otre technologie.</w:t>
      </w:r>
    </w:p>
    <w:p w14:paraId="3B40E3EF" w14:textId="77777777" w:rsidR="007A7F04" w:rsidRPr="007A4F46" w:rsidRDefault="00523832" w:rsidP="002805AE">
      <w:pPr>
        <w:spacing w:line="240" w:lineRule="auto"/>
        <w:rPr>
          <w:rFonts w:ascii="Calibri" w:hAnsi="Calibri" w:cs="Calibri"/>
        </w:rPr>
      </w:pPr>
      <w:r w:rsidRPr="00523832">
        <w:rPr>
          <w:rFonts w:ascii="Calibri" w:hAnsi="Calibri" w:cs="Calibri"/>
          <w:noProof/>
        </w:rPr>
        <w:pict w14:anchorId="7E60C3D2">
          <v:rect id="_x0000_i1027" alt="" style="width:453.5pt;height:.05pt;mso-width-percent:0;mso-height-percent:0;mso-width-percent:0;mso-height-percent:0" o:hrpct="969" o:hrstd="t" o:hrnoshade="t" o:hr="t" fillcolor="#0d0d0d" stroked="f"/>
        </w:pict>
      </w:r>
    </w:p>
    <w:p w14:paraId="4375227D" w14:textId="3230FC69" w:rsidR="007A7F04" w:rsidRPr="007A4F46" w:rsidRDefault="007A7F04" w:rsidP="002805AE">
      <w:pPr>
        <w:spacing w:line="240" w:lineRule="auto"/>
        <w:rPr>
          <w:rFonts w:ascii="Calibri" w:hAnsi="Calibri" w:cs="Calibri"/>
          <w:b/>
          <w:bCs/>
        </w:rPr>
      </w:pPr>
      <w:r w:rsidRPr="007A4F46">
        <w:rPr>
          <w:rFonts w:ascii="Calibri" w:hAnsi="Calibri" w:cs="Calibri"/>
          <w:b/>
          <w:bCs/>
        </w:rPr>
        <w:t xml:space="preserve">Inconvénients </w:t>
      </w:r>
      <w:r w:rsidR="00BA0DEA" w:rsidRPr="007A4F46">
        <w:rPr>
          <w:rFonts w:ascii="Calibri" w:hAnsi="Calibri" w:cs="Calibri"/>
          <w:b/>
          <w:bCs/>
        </w:rPr>
        <w:t>du</w:t>
      </w:r>
      <w:r w:rsidRPr="007A4F46">
        <w:rPr>
          <w:rFonts w:ascii="Calibri" w:hAnsi="Calibri" w:cs="Calibri"/>
          <w:b/>
          <w:bCs/>
        </w:rPr>
        <w:t xml:space="preserve"> </w:t>
      </w:r>
      <w:r w:rsidR="00BA0DEA" w:rsidRPr="007A4F46">
        <w:rPr>
          <w:rFonts w:ascii="Calibri" w:hAnsi="Calibri" w:cs="Calibri"/>
          <w:b/>
          <w:bCs/>
        </w:rPr>
        <w:t>B</w:t>
      </w:r>
      <w:r w:rsidRPr="007A4F46">
        <w:rPr>
          <w:rFonts w:ascii="Calibri" w:hAnsi="Calibri" w:cs="Calibri"/>
          <w:b/>
          <w:bCs/>
        </w:rPr>
        <w:t xml:space="preserve">usiness </w:t>
      </w:r>
      <w:r w:rsidR="00BA0DEA" w:rsidRPr="007A4F46">
        <w:rPr>
          <w:rFonts w:ascii="Calibri" w:hAnsi="Calibri" w:cs="Calibri"/>
          <w:b/>
          <w:bCs/>
        </w:rPr>
        <w:t>M</w:t>
      </w:r>
      <w:r w:rsidRPr="007A4F46">
        <w:rPr>
          <w:rFonts w:ascii="Calibri" w:hAnsi="Calibri" w:cs="Calibri"/>
          <w:b/>
          <w:bCs/>
        </w:rPr>
        <w:t>odel</w:t>
      </w:r>
      <w:r w:rsidR="00BC5010" w:rsidRPr="007A4F46">
        <w:rPr>
          <w:rFonts w:ascii="Calibri" w:hAnsi="Calibri" w:cs="Calibri"/>
          <w:b/>
          <w:bCs/>
        </w:rPr>
        <w:t xml:space="preserve"> B2C</w:t>
      </w:r>
    </w:p>
    <w:p w14:paraId="73830A25" w14:textId="5C483A38" w:rsidR="007A7F04" w:rsidRPr="007A4F46" w:rsidRDefault="007A7F04" w:rsidP="009C03B8">
      <w:pPr>
        <w:numPr>
          <w:ilvl w:val="0"/>
          <w:numId w:val="1"/>
        </w:numPr>
        <w:spacing w:line="240" w:lineRule="auto"/>
        <w:rPr>
          <w:rFonts w:ascii="Calibri" w:hAnsi="Calibri" w:cs="Calibri"/>
        </w:rPr>
      </w:pPr>
      <w:r w:rsidRPr="007A4F46">
        <w:rPr>
          <w:rFonts w:ascii="Calibri" w:hAnsi="Calibri" w:cs="Calibri"/>
          <w:b/>
          <w:bCs/>
        </w:rPr>
        <w:t>Forte dépendance au trafic utilisateur</w:t>
      </w:r>
      <w:r w:rsidRPr="007A4F46">
        <w:rPr>
          <w:rFonts w:ascii="Calibri" w:hAnsi="Calibri" w:cs="Calibri"/>
        </w:rPr>
        <w:t> :</w:t>
      </w:r>
      <w:r w:rsidR="009C03B8" w:rsidRPr="007A4F46">
        <w:rPr>
          <w:rFonts w:ascii="Calibri" w:hAnsi="Calibri" w:cs="Calibri"/>
        </w:rPr>
        <w:t xml:space="preserve"> </w:t>
      </w:r>
      <w:r w:rsidRPr="007A4F46">
        <w:rPr>
          <w:rFonts w:ascii="Calibri" w:hAnsi="Calibri" w:cs="Calibri"/>
        </w:rPr>
        <w:t xml:space="preserve">Attirer des visiteurs réguliers sur </w:t>
      </w:r>
      <w:r w:rsidR="00E81ED2" w:rsidRPr="007A4F46">
        <w:rPr>
          <w:rFonts w:ascii="Calibri" w:hAnsi="Calibri" w:cs="Calibri"/>
        </w:rPr>
        <w:t>le</w:t>
      </w:r>
      <w:r w:rsidRPr="007A4F46">
        <w:rPr>
          <w:rFonts w:ascii="Calibri" w:hAnsi="Calibri" w:cs="Calibri"/>
        </w:rPr>
        <w:t xml:space="preserve"> site nécessite un investissement important en marketing, référencement (SEO), et publicité.</w:t>
      </w:r>
    </w:p>
    <w:p w14:paraId="05292628" w14:textId="77777777" w:rsidR="007A7F04" w:rsidRPr="007A4F46" w:rsidRDefault="007A7F04" w:rsidP="002805AE">
      <w:pPr>
        <w:numPr>
          <w:ilvl w:val="0"/>
          <w:numId w:val="1"/>
        </w:numPr>
        <w:spacing w:line="240" w:lineRule="auto"/>
        <w:rPr>
          <w:rFonts w:ascii="Calibri" w:hAnsi="Calibri" w:cs="Calibri"/>
        </w:rPr>
      </w:pPr>
      <w:r w:rsidRPr="007A4F46">
        <w:rPr>
          <w:rFonts w:ascii="Calibri" w:hAnsi="Calibri" w:cs="Calibri"/>
          <w:b/>
          <w:bCs/>
        </w:rPr>
        <w:t>Compétition saturée</w:t>
      </w:r>
      <w:r w:rsidRPr="007A4F46">
        <w:rPr>
          <w:rFonts w:ascii="Calibri" w:hAnsi="Calibri" w:cs="Calibri"/>
        </w:rPr>
        <w:t> :</w:t>
      </w:r>
    </w:p>
    <w:p w14:paraId="16A971A0" w14:textId="77777777" w:rsidR="007A7F04" w:rsidRPr="007A4F46" w:rsidRDefault="007A7F04" w:rsidP="002805AE">
      <w:pPr>
        <w:numPr>
          <w:ilvl w:val="1"/>
          <w:numId w:val="1"/>
        </w:numPr>
        <w:spacing w:line="240" w:lineRule="auto"/>
        <w:rPr>
          <w:rFonts w:ascii="Calibri" w:hAnsi="Calibri" w:cs="Calibri"/>
        </w:rPr>
      </w:pPr>
      <w:r w:rsidRPr="007A4F46">
        <w:rPr>
          <w:rFonts w:ascii="Calibri" w:hAnsi="Calibri" w:cs="Calibri"/>
        </w:rPr>
        <w:t>De nombreux sites et outils existent déjà pour résumer du contenu, ce qui rend difficile la différenciation.</w:t>
      </w:r>
    </w:p>
    <w:p w14:paraId="7D78B73A" w14:textId="77777777" w:rsidR="007A7F04" w:rsidRPr="007A4F46" w:rsidRDefault="007A7F04" w:rsidP="002805AE">
      <w:pPr>
        <w:numPr>
          <w:ilvl w:val="1"/>
          <w:numId w:val="1"/>
        </w:numPr>
        <w:spacing w:line="240" w:lineRule="auto"/>
        <w:rPr>
          <w:rFonts w:ascii="Calibri" w:hAnsi="Calibri" w:cs="Calibri"/>
        </w:rPr>
      </w:pPr>
      <w:r w:rsidRPr="007A4F46">
        <w:rPr>
          <w:rFonts w:ascii="Calibri" w:hAnsi="Calibri" w:cs="Calibri"/>
        </w:rPr>
        <w:t>Les utilisateurs peuvent préférer des outils déjà bien établis ou intégrés dans leur écosystème.</w:t>
      </w:r>
    </w:p>
    <w:p w14:paraId="1B1A1D70" w14:textId="77777777" w:rsidR="007A7F04" w:rsidRPr="007A4F46" w:rsidRDefault="007A7F04" w:rsidP="002805AE">
      <w:pPr>
        <w:numPr>
          <w:ilvl w:val="0"/>
          <w:numId w:val="1"/>
        </w:numPr>
        <w:spacing w:line="240" w:lineRule="auto"/>
        <w:rPr>
          <w:rFonts w:ascii="Calibri" w:hAnsi="Calibri" w:cs="Calibri"/>
        </w:rPr>
      </w:pPr>
      <w:r w:rsidRPr="007A4F46">
        <w:rPr>
          <w:rFonts w:ascii="Calibri" w:hAnsi="Calibri" w:cs="Calibri"/>
          <w:b/>
          <w:bCs/>
        </w:rPr>
        <w:t>Faible fidélisation</w:t>
      </w:r>
      <w:r w:rsidRPr="007A4F46">
        <w:rPr>
          <w:rFonts w:ascii="Calibri" w:hAnsi="Calibri" w:cs="Calibri"/>
        </w:rPr>
        <w:t> :</w:t>
      </w:r>
    </w:p>
    <w:p w14:paraId="53E824C8" w14:textId="77777777" w:rsidR="007A7F04" w:rsidRPr="007A4F46" w:rsidRDefault="007A7F04" w:rsidP="002805AE">
      <w:pPr>
        <w:numPr>
          <w:ilvl w:val="1"/>
          <w:numId w:val="1"/>
        </w:numPr>
        <w:spacing w:line="240" w:lineRule="auto"/>
        <w:rPr>
          <w:rFonts w:ascii="Calibri" w:hAnsi="Calibri" w:cs="Calibri"/>
        </w:rPr>
      </w:pPr>
      <w:r w:rsidRPr="007A4F46">
        <w:rPr>
          <w:rFonts w:ascii="Calibri" w:hAnsi="Calibri" w:cs="Calibri"/>
        </w:rPr>
        <w:t>Les visiteurs utilisent souvent ce type de service de manière ponctuelle, réduisant le potentiel de revenus récurrents.</w:t>
      </w:r>
    </w:p>
    <w:p w14:paraId="0BD7F75C" w14:textId="77777777" w:rsidR="007A7F04" w:rsidRPr="007A4F46" w:rsidRDefault="007A7F04" w:rsidP="002805AE">
      <w:pPr>
        <w:numPr>
          <w:ilvl w:val="1"/>
          <w:numId w:val="1"/>
        </w:numPr>
        <w:spacing w:line="240" w:lineRule="auto"/>
        <w:rPr>
          <w:rFonts w:ascii="Calibri" w:hAnsi="Calibri" w:cs="Calibri"/>
        </w:rPr>
      </w:pPr>
      <w:r w:rsidRPr="007A4F46">
        <w:rPr>
          <w:rFonts w:ascii="Calibri" w:hAnsi="Calibri" w:cs="Calibri"/>
        </w:rPr>
        <w:t>L'absence de contenu exclusif peut limiter leur intérêt à revenir.</w:t>
      </w:r>
    </w:p>
    <w:p w14:paraId="67285AFC" w14:textId="271E6C63" w:rsidR="007A7F04" w:rsidRPr="007A4F46" w:rsidRDefault="007A7F04" w:rsidP="002805AE">
      <w:pPr>
        <w:numPr>
          <w:ilvl w:val="0"/>
          <w:numId w:val="1"/>
        </w:numPr>
        <w:spacing w:line="240" w:lineRule="auto"/>
        <w:rPr>
          <w:rFonts w:ascii="Calibri" w:hAnsi="Calibri" w:cs="Calibri"/>
        </w:rPr>
      </w:pPr>
      <w:r w:rsidRPr="007A4F46">
        <w:rPr>
          <w:rFonts w:ascii="Calibri" w:hAnsi="Calibri" w:cs="Calibri"/>
          <w:b/>
          <w:bCs/>
        </w:rPr>
        <w:t>Charge de maintenance élevée</w:t>
      </w:r>
      <w:r w:rsidRPr="007A4F46">
        <w:rPr>
          <w:rFonts w:ascii="Calibri" w:hAnsi="Calibri" w:cs="Calibri"/>
        </w:rPr>
        <w:t> :</w:t>
      </w:r>
      <w:r w:rsidR="00E81ED2" w:rsidRPr="007A4F46">
        <w:rPr>
          <w:rFonts w:ascii="Calibri" w:hAnsi="Calibri" w:cs="Calibri"/>
        </w:rPr>
        <w:t xml:space="preserve"> </w:t>
      </w:r>
      <w:r w:rsidRPr="007A4F46">
        <w:rPr>
          <w:rFonts w:ascii="Calibri" w:hAnsi="Calibri" w:cs="Calibri"/>
        </w:rPr>
        <w:t>Gérer un site avec des articles résumés implique :</w:t>
      </w:r>
    </w:p>
    <w:p w14:paraId="123771DB" w14:textId="77777777" w:rsidR="007A7F04" w:rsidRPr="007A4F46" w:rsidRDefault="007A7F04" w:rsidP="002805AE">
      <w:pPr>
        <w:numPr>
          <w:ilvl w:val="1"/>
          <w:numId w:val="1"/>
        </w:numPr>
        <w:spacing w:line="240" w:lineRule="auto"/>
        <w:rPr>
          <w:rFonts w:ascii="Calibri" w:hAnsi="Calibri" w:cs="Calibri"/>
        </w:rPr>
      </w:pPr>
      <w:r w:rsidRPr="007A4F46">
        <w:rPr>
          <w:rFonts w:ascii="Calibri" w:hAnsi="Calibri" w:cs="Calibri"/>
        </w:rPr>
        <w:t>Des mises à jour fréquentes.</w:t>
      </w:r>
    </w:p>
    <w:p w14:paraId="74179F25" w14:textId="77777777" w:rsidR="007A7F04" w:rsidRPr="007A4F46" w:rsidRDefault="007A7F04" w:rsidP="002805AE">
      <w:pPr>
        <w:numPr>
          <w:ilvl w:val="1"/>
          <w:numId w:val="1"/>
        </w:numPr>
        <w:spacing w:line="240" w:lineRule="auto"/>
        <w:rPr>
          <w:rFonts w:ascii="Calibri" w:hAnsi="Calibri" w:cs="Calibri"/>
        </w:rPr>
      </w:pPr>
      <w:r w:rsidRPr="007A4F46">
        <w:rPr>
          <w:rFonts w:ascii="Calibri" w:hAnsi="Calibri" w:cs="Calibri"/>
        </w:rPr>
        <w:t>Une veille constante pour ajouter de nouveaux contenus.</w:t>
      </w:r>
    </w:p>
    <w:p w14:paraId="49413E4F" w14:textId="77777777" w:rsidR="007A7F04" w:rsidRPr="007A4F46" w:rsidRDefault="007A7F04" w:rsidP="002805AE">
      <w:pPr>
        <w:numPr>
          <w:ilvl w:val="1"/>
          <w:numId w:val="1"/>
        </w:numPr>
        <w:spacing w:line="240" w:lineRule="auto"/>
        <w:rPr>
          <w:rFonts w:ascii="Calibri" w:hAnsi="Calibri" w:cs="Calibri"/>
        </w:rPr>
      </w:pPr>
      <w:r w:rsidRPr="007A4F46">
        <w:rPr>
          <w:rFonts w:ascii="Calibri" w:hAnsi="Calibri" w:cs="Calibri"/>
        </w:rPr>
        <w:t>Le risque de doublons ou d'informations obsolètes.</w:t>
      </w:r>
    </w:p>
    <w:p w14:paraId="67003DE1" w14:textId="77777777" w:rsidR="007A7F04" w:rsidRPr="007A4F46" w:rsidRDefault="007A7F04" w:rsidP="002805AE">
      <w:pPr>
        <w:numPr>
          <w:ilvl w:val="0"/>
          <w:numId w:val="1"/>
        </w:numPr>
        <w:spacing w:line="240" w:lineRule="auto"/>
        <w:rPr>
          <w:rFonts w:ascii="Calibri" w:hAnsi="Calibri" w:cs="Calibri"/>
        </w:rPr>
      </w:pPr>
      <w:r w:rsidRPr="007A4F46">
        <w:rPr>
          <w:rFonts w:ascii="Calibri" w:hAnsi="Calibri" w:cs="Calibri"/>
          <w:b/>
          <w:bCs/>
        </w:rPr>
        <w:t>Problèmes légaux et de droits d'auteur</w:t>
      </w:r>
      <w:r w:rsidRPr="007A4F46">
        <w:rPr>
          <w:rFonts w:ascii="Calibri" w:hAnsi="Calibri" w:cs="Calibri"/>
        </w:rPr>
        <w:t> :</w:t>
      </w:r>
    </w:p>
    <w:p w14:paraId="0F52D122" w14:textId="77777777" w:rsidR="007A7F04" w:rsidRPr="007A4F46" w:rsidRDefault="007A7F04" w:rsidP="002805AE">
      <w:pPr>
        <w:numPr>
          <w:ilvl w:val="1"/>
          <w:numId w:val="1"/>
        </w:numPr>
        <w:spacing w:line="240" w:lineRule="auto"/>
        <w:rPr>
          <w:rFonts w:ascii="Calibri" w:hAnsi="Calibri" w:cs="Calibri"/>
        </w:rPr>
      </w:pPr>
      <w:r w:rsidRPr="007A4F46">
        <w:rPr>
          <w:rFonts w:ascii="Calibri" w:hAnsi="Calibri" w:cs="Calibri"/>
        </w:rPr>
        <w:t>Publier des résumés d'articles provenant de médias tiers sans autorisation peut entraîner des litiges juridiques.</w:t>
      </w:r>
    </w:p>
    <w:p w14:paraId="772DCA82" w14:textId="7D1674B2" w:rsidR="007A7F04" w:rsidRPr="007A4F46" w:rsidRDefault="007A7F04" w:rsidP="002805AE">
      <w:pPr>
        <w:numPr>
          <w:ilvl w:val="1"/>
          <w:numId w:val="1"/>
        </w:numPr>
        <w:spacing w:line="240" w:lineRule="auto"/>
        <w:rPr>
          <w:rFonts w:ascii="Calibri" w:hAnsi="Calibri" w:cs="Calibri"/>
        </w:rPr>
      </w:pPr>
      <w:r w:rsidRPr="007A4F46">
        <w:rPr>
          <w:rFonts w:ascii="Calibri" w:hAnsi="Calibri" w:cs="Calibri"/>
        </w:rPr>
        <w:t xml:space="preserve">Certains médias pourraient percevoir </w:t>
      </w:r>
      <w:r w:rsidR="003874E4" w:rsidRPr="007A4F46">
        <w:rPr>
          <w:rFonts w:ascii="Calibri" w:hAnsi="Calibri" w:cs="Calibri"/>
        </w:rPr>
        <w:t>no</w:t>
      </w:r>
      <w:r w:rsidRPr="007A4F46">
        <w:rPr>
          <w:rFonts w:ascii="Calibri" w:hAnsi="Calibri" w:cs="Calibri"/>
        </w:rPr>
        <w:t>tre site comme un concurrent, ce qui complique toute collaboration.</w:t>
      </w:r>
    </w:p>
    <w:p w14:paraId="32BED02B" w14:textId="77777777" w:rsidR="007A7F04" w:rsidRPr="007A4F46" w:rsidRDefault="007A7F04" w:rsidP="002805AE">
      <w:pPr>
        <w:numPr>
          <w:ilvl w:val="0"/>
          <w:numId w:val="1"/>
        </w:numPr>
        <w:spacing w:line="240" w:lineRule="auto"/>
        <w:rPr>
          <w:rFonts w:ascii="Calibri" w:hAnsi="Calibri" w:cs="Calibri"/>
        </w:rPr>
      </w:pPr>
      <w:r w:rsidRPr="007A4F46">
        <w:rPr>
          <w:rFonts w:ascii="Calibri" w:hAnsi="Calibri" w:cs="Calibri"/>
          <w:b/>
          <w:bCs/>
        </w:rPr>
        <w:t>Modèle économique incertain</w:t>
      </w:r>
      <w:r w:rsidRPr="007A4F46">
        <w:rPr>
          <w:rFonts w:ascii="Calibri" w:hAnsi="Calibri" w:cs="Calibri"/>
        </w:rPr>
        <w:t> :</w:t>
      </w:r>
    </w:p>
    <w:p w14:paraId="5D44CDAC" w14:textId="77777777" w:rsidR="007A7F04" w:rsidRPr="007A4F46" w:rsidRDefault="007A7F04" w:rsidP="002805AE">
      <w:pPr>
        <w:numPr>
          <w:ilvl w:val="1"/>
          <w:numId w:val="1"/>
        </w:numPr>
        <w:spacing w:line="240" w:lineRule="auto"/>
        <w:rPr>
          <w:rFonts w:ascii="Calibri" w:hAnsi="Calibri" w:cs="Calibri"/>
        </w:rPr>
      </w:pPr>
      <w:r w:rsidRPr="007A4F46">
        <w:rPr>
          <w:rFonts w:ascii="Calibri" w:hAnsi="Calibri" w:cs="Calibri"/>
        </w:rPr>
        <w:t>Les revenus dépendent fortement des publicités ou d'abonnements premium.</w:t>
      </w:r>
    </w:p>
    <w:p w14:paraId="33932756" w14:textId="77777777" w:rsidR="007A7F04" w:rsidRPr="007A4F46" w:rsidRDefault="007A7F04" w:rsidP="002805AE">
      <w:pPr>
        <w:numPr>
          <w:ilvl w:val="1"/>
          <w:numId w:val="1"/>
        </w:numPr>
        <w:spacing w:line="240" w:lineRule="auto"/>
        <w:rPr>
          <w:rFonts w:ascii="Calibri" w:hAnsi="Calibri" w:cs="Calibri"/>
        </w:rPr>
      </w:pPr>
      <w:r w:rsidRPr="007A4F46">
        <w:rPr>
          <w:rFonts w:ascii="Calibri" w:hAnsi="Calibri" w:cs="Calibri"/>
        </w:rPr>
        <w:t>Une monétisation basée sur des abonnements pourrait décourager les utilisateurs si des alternatives gratuites existent.</w:t>
      </w:r>
    </w:p>
    <w:p w14:paraId="14BDE1C5" w14:textId="446B9EB1" w:rsidR="00BC5010" w:rsidRPr="007A4F46" w:rsidRDefault="007A7F04" w:rsidP="002805AE">
      <w:pPr>
        <w:numPr>
          <w:ilvl w:val="0"/>
          <w:numId w:val="1"/>
        </w:numPr>
        <w:spacing w:line="240" w:lineRule="auto"/>
        <w:rPr>
          <w:rFonts w:ascii="Calibri" w:hAnsi="Calibri" w:cs="Calibri"/>
        </w:rPr>
      </w:pPr>
      <w:r w:rsidRPr="007A4F46">
        <w:rPr>
          <w:rFonts w:ascii="Calibri" w:hAnsi="Calibri" w:cs="Calibri"/>
          <w:b/>
          <w:bCs/>
        </w:rPr>
        <w:t>Manque de scalabilité</w:t>
      </w:r>
      <w:r w:rsidRPr="007A4F46">
        <w:rPr>
          <w:rFonts w:ascii="Calibri" w:hAnsi="Calibri" w:cs="Calibri"/>
        </w:rPr>
        <w:t> :</w:t>
      </w:r>
      <w:r w:rsidR="009C03B8" w:rsidRPr="007A4F46">
        <w:rPr>
          <w:rFonts w:ascii="Calibri" w:hAnsi="Calibri" w:cs="Calibri"/>
        </w:rPr>
        <w:t xml:space="preserve"> </w:t>
      </w:r>
      <w:r w:rsidRPr="007A4F46">
        <w:rPr>
          <w:rFonts w:ascii="Calibri" w:hAnsi="Calibri" w:cs="Calibri"/>
        </w:rPr>
        <w:t>Si le succès est au rendez-vous, la gestion d'un grand volume de visiteurs et de résumés peut rapidement devenir coûteuse et complexe.</w:t>
      </w:r>
    </w:p>
    <w:p w14:paraId="0FE6B000" w14:textId="488D5D73" w:rsidR="00BC5010" w:rsidRPr="007A4F46" w:rsidRDefault="00523832" w:rsidP="002805AE">
      <w:pPr>
        <w:spacing w:line="240" w:lineRule="auto"/>
        <w:rPr>
          <w:rFonts w:ascii="Calibri" w:hAnsi="Calibri" w:cs="Calibri"/>
        </w:rPr>
      </w:pPr>
      <w:r w:rsidRPr="00523832">
        <w:rPr>
          <w:rFonts w:ascii="Calibri" w:hAnsi="Calibri" w:cs="Calibri"/>
          <w:noProof/>
        </w:rPr>
        <w:pict w14:anchorId="23B079BE">
          <v:rect id="_x0000_i1026" alt="" style="width:453.5pt;height:.05pt;mso-width-percent:0;mso-height-percent:0;mso-width-percent:0;mso-height-percent:0" o:hrpct="969" o:hrstd="t" o:hrnoshade="t" o:hr="t" fillcolor="#0d0d0d" stroked="f"/>
        </w:pict>
      </w:r>
    </w:p>
    <w:p w14:paraId="093245BD" w14:textId="32E91980" w:rsidR="001005B1" w:rsidRPr="007A4F46" w:rsidRDefault="009C03B8" w:rsidP="002805AE">
      <w:pPr>
        <w:spacing w:line="240" w:lineRule="auto"/>
        <w:rPr>
          <w:rFonts w:ascii="Calibri" w:hAnsi="Calibri" w:cs="Calibri"/>
          <w:b/>
          <w:bCs/>
        </w:rPr>
      </w:pPr>
      <w:r w:rsidRPr="007A4F46">
        <w:rPr>
          <w:rFonts w:ascii="Calibri" w:hAnsi="Calibri" w:cs="Calibri"/>
          <w:b/>
          <w:bCs/>
        </w:rPr>
        <w:t>C</w:t>
      </w:r>
      <w:r w:rsidR="001005B1" w:rsidRPr="007A4F46">
        <w:rPr>
          <w:rFonts w:ascii="Calibri" w:hAnsi="Calibri" w:cs="Calibri"/>
          <w:b/>
          <w:bCs/>
        </w:rPr>
        <w:t xml:space="preserve">hoix stratégique </w:t>
      </w:r>
      <w:r w:rsidR="00CA1E98" w:rsidRPr="007A4F46">
        <w:rPr>
          <w:rFonts w:ascii="Calibri" w:hAnsi="Calibri" w:cs="Calibri"/>
          <w:b/>
          <w:bCs/>
        </w:rPr>
        <w:t>du</w:t>
      </w:r>
      <w:r w:rsidR="001005B1" w:rsidRPr="007A4F46">
        <w:rPr>
          <w:rFonts w:ascii="Calibri" w:hAnsi="Calibri" w:cs="Calibri"/>
          <w:b/>
          <w:bCs/>
        </w:rPr>
        <w:t xml:space="preserve"> modèle B2B : solution intégrée pour les médias</w:t>
      </w:r>
    </w:p>
    <w:p w14:paraId="5F82F42E" w14:textId="35AF251E" w:rsidR="001005B1" w:rsidRPr="007A4F46" w:rsidRDefault="007A4F46" w:rsidP="002805AE">
      <w:pPr>
        <w:spacing w:line="240" w:lineRule="auto"/>
        <w:rPr>
          <w:rFonts w:ascii="Calibri" w:hAnsi="Calibri" w:cs="Calibri"/>
        </w:rPr>
      </w:pPr>
      <w:r w:rsidRPr="007A4F46">
        <w:rPr>
          <w:rFonts w:ascii="Calibri" w:hAnsi="Calibri" w:cs="Calibri"/>
        </w:rPr>
        <w:t>Dans un projet d’IA, passer d’un modèle B2C à un modèle B2B, en collaborant directement avec les médias, représente un choix stratégique. Ce changement répond aux limites du B2C et exploite les avantages des partenariats, offrant plus de stabilité et de rentabilité.</w:t>
      </w:r>
    </w:p>
    <w:p w14:paraId="50239DED" w14:textId="17FAA150" w:rsidR="002805AE" w:rsidRPr="007A4F46" w:rsidRDefault="001005B1" w:rsidP="00BC5010">
      <w:pPr>
        <w:pStyle w:val="ListParagraph"/>
        <w:numPr>
          <w:ilvl w:val="0"/>
          <w:numId w:val="2"/>
        </w:numPr>
        <w:spacing w:line="240" w:lineRule="auto"/>
        <w:rPr>
          <w:rFonts w:ascii="Calibri" w:hAnsi="Calibri" w:cs="Calibri"/>
          <w:b/>
          <w:bCs/>
        </w:rPr>
      </w:pPr>
      <w:r w:rsidRPr="007A4F46">
        <w:rPr>
          <w:rFonts w:ascii="Calibri" w:hAnsi="Calibri" w:cs="Calibri"/>
          <w:b/>
          <w:bCs/>
        </w:rPr>
        <w:lastRenderedPageBreak/>
        <w:t>Une stabilité et une durabilité accrue</w:t>
      </w:r>
    </w:p>
    <w:p w14:paraId="71EA3505" w14:textId="394713E1" w:rsidR="00BC5010" w:rsidRPr="007A4F46" w:rsidRDefault="002805AE" w:rsidP="00BC5010">
      <w:pPr>
        <w:pStyle w:val="p1"/>
        <w:numPr>
          <w:ilvl w:val="0"/>
          <w:numId w:val="3"/>
        </w:numPr>
        <w:rPr>
          <w:rFonts w:ascii="Calibri" w:hAnsi="Calibri" w:cs="Calibri"/>
          <w:sz w:val="22"/>
          <w:szCs w:val="22"/>
          <w:lang w:val="fr-FR"/>
        </w:rPr>
      </w:pPr>
      <w:r w:rsidRPr="007A4F46">
        <w:rPr>
          <w:rFonts w:ascii="Calibri" w:hAnsi="Calibri" w:cs="Calibri"/>
          <w:sz w:val="22"/>
          <w:szCs w:val="22"/>
          <w:lang w:val="fr-FR"/>
        </w:rPr>
        <w:t>Contrairement au B2C, qui dépend de l’afflux d’utilisateurs individuels, le B2B repose sur des accords de licence, d’abonnement, de partenariat.</w:t>
      </w:r>
    </w:p>
    <w:p w14:paraId="2CE31DBC" w14:textId="0F08D89B" w:rsidR="00BC5010" w:rsidRPr="007A4F46" w:rsidRDefault="002805AE" w:rsidP="00BC5010">
      <w:pPr>
        <w:pStyle w:val="p1"/>
        <w:numPr>
          <w:ilvl w:val="0"/>
          <w:numId w:val="3"/>
        </w:numPr>
        <w:rPr>
          <w:rFonts w:ascii="Calibri" w:hAnsi="Calibri" w:cs="Calibri"/>
          <w:sz w:val="22"/>
          <w:szCs w:val="22"/>
          <w:lang w:val="fr-FR"/>
        </w:rPr>
      </w:pPr>
      <w:r w:rsidRPr="007A4F46">
        <w:rPr>
          <w:rFonts w:ascii="Calibri" w:hAnsi="Calibri" w:cs="Calibri"/>
          <w:sz w:val="22"/>
          <w:szCs w:val="22"/>
          <w:lang w:val="fr-FR"/>
        </w:rPr>
        <w:t>Ces partenariats garantissent des revenus récurrents et prévisibles, assurant une stabilité financière à long terme.</w:t>
      </w:r>
    </w:p>
    <w:p w14:paraId="2BA58C44" w14:textId="0DA0811A" w:rsidR="002805AE" w:rsidRPr="007A4F46" w:rsidRDefault="002805AE" w:rsidP="00BC5010">
      <w:pPr>
        <w:pStyle w:val="p1"/>
        <w:numPr>
          <w:ilvl w:val="0"/>
          <w:numId w:val="3"/>
        </w:numPr>
        <w:rPr>
          <w:rFonts w:ascii="Calibri" w:hAnsi="Calibri" w:cs="Calibri"/>
          <w:sz w:val="22"/>
          <w:szCs w:val="22"/>
          <w:lang w:val="fr-FR"/>
        </w:rPr>
      </w:pPr>
      <w:r w:rsidRPr="007A4F46">
        <w:rPr>
          <w:rFonts w:ascii="Calibri" w:hAnsi="Calibri" w:cs="Calibri"/>
          <w:sz w:val="22"/>
          <w:szCs w:val="22"/>
          <w:lang w:val="fr-FR"/>
        </w:rPr>
        <w:t>L’intégration d’une solution de résumé par les médias les rend dépendants de cette technologie pour optimiser leur contenu.</w:t>
      </w:r>
    </w:p>
    <w:p w14:paraId="53120CD1" w14:textId="44E2BF26" w:rsidR="002805AE" w:rsidRPr="007A4F46" w:rsidRDefault="002805AE" w:rsidP="00BC5010">
      <w:pPr>
        <w:pStyle w:val="p1"/>
        <w:numPr>
          <w:ilvl w:val="0"/>
          <w:numId w:val="3"/>
        </w:numPr>
        <w:rPr>
          <w:rFonts w:ascii="Calibri" w:hAnsi="Calibri" w:cs="Calibri"/>
          <w:sz w:val="22"/>
          <w:szCs w:val="22"/>
          <w:lang w:val="fr-FR"/>
        </w:rPr>
      </w:pPr>
      <w:r w:rsidRPr="007A4F46">
        <w:rPr>
          <w:rFonts w:ascii="Calibri" w:hAnsi="Calibri" w:cs="Calibri"/>
          <w:sz w:val="22"/>
          <w:szCs w:val="22"/>
          <w:lang w:val="fr-FR"/>
        </w:rPr>
        <w:t>Cette dépendance renforce la fidélité des partenaires et réduit les risques d’interruption de collaboration</w:t>
      </w:r>
    </w:p>
    <w:p w14:paraId="5F569823" w14:textId="1002B623" w:rsidR="002805AE" w:rsidRPr="007A4F46" w:rsidRDefault="002805AE" w:rsidP="00BC5010">
      <w:pPr>
        <w:pStyle w:val="p1"/>
        <w:numPr>
          <w:ilvl w:val="0"/>
          <w:numId w:val="3"/>
        </w:numPr>
        <w:rPr>
          <w:rFonts w:ascii="Calibri" w:hAnsi="Calibri" w:cs="Calibri"/>
          <w:sz w:val="22"/>
          <w:szCs w:val="22"/>
          <w:lang w:val="fr-FR"/>
        </w:rPr>
      </w:pPr>
      <w:r w:rsidRPr="007A4F46">
        <w:rPr>
          <w:rFonts w:ascii="Calibri" w:hAnsi="Calibri" w:cs="Calibri"/>
          <w:sz w:val="22"/>
          <w:szCs w:val="22"/>
          <w:lang w:val="fr-FR"/>
        </w:rPr>
        <w:t>Le modèle B2B favorise une relation commerciale mutuellement bénéfique et durable.</w:t>
      </w:r>
    </w:p>
    <w:p w14:paraId="5116CCD5" w14:textId="77777777" w:rsidR="003874E4" w:rsidRPr="007A4F46" w:rsidRDefault="003874E4" w:rsidP="002805AE">
      <w:pPr>
        <w:spacing w:line="240" w:lineRule="auto"/>
        <w:rPr>
          <w:rFonts w:ascii="Calibri" w:hAnsi="Calibri" w:cs="Calibri"/>
        </w:rPr>
      </w:pPr>
    </w:p>
    <w:p w14:paraId="1CCBF46E" w14:textId="20E8801F" w:rsidR="003874E4" w:rsidRPr="007A4F46" w:rsidRDefault="003874E4" w:rsidP="002805AE">
      <w:pPr>
        <w:pStyle w:val="ListParagraph"/>
        <w:numPr>
          <w:ilvl w:val="0"/>
          <w:numId w:val="2"/>
        </w:numPr>
        <w:spacing w:line="240" w:lineRule="auto"/>
        <w:rPr>
          <w:rFonts w:ascii="Calibri" w:hAnsi="Calibri" w:cs="Calibri"/>
          <w:b/>
          <w:bCs/>
        </w:rPr>
      </w:pPr>
      <w:r w:rsidRPr="007A4F46">
        <w:rPr>
          <w:rFonts w:ascii="Calibri" w:hAnsi="Calibri" w:cs="Calibri"/>
          <w:b/>
          <w:bCs/>
        </w:rPr>
        <w:t>Une scalabilité et une réputation renforcée</w:t>
      </w:r>
    </w:p>
    <w:p w14:paraId="070419D6" w14:textId="77777777" w:rsidR="002805AE" w:rsidRPr="007A4F46" w:rsidRDefault="002805AE" w:rsidP="002805AE">
      <w:pPr>
        <w:pStyle w:val="ListParagraph"/>
        <w:spacing w:line="240" w:lineRule="auto"/>
        <w:rPr>
          <w:rFonts w:ascii="Calibri" w:hAnsi="Calibri" w:cs="Calibri"/>
          <w:b/>
          <w:bCs/>
        </w:rPr>
      </w:pPr>
    </w:p>
    <w:p w14:paraId="088C11F6" w14:textId="5FD65042" w:rsidR="002805AE" w:rsidRPr="007A4F46" w:rsidRDefault="002805AE" w:rsidP="00BC5010">
      <w:pPr>
        <w:pStyle w:val="ListParagraph"/>
        <w:numPr>
          <w:ilvl w:val="0"/>
          <w:numId w:val="4"/>
        </w:numPr>
        <w:spacing w:after="0" w:line="240" w:lineRule="auto"/>
        <w:rPr>
          <w:rFonts w:ascii="Calibri" w:eastAsia="Times New Roman" w:hAnsi="Calibri" w:cs="Calibri"/>
          <w:color w:val="0E0E0E"/>
        </w:rPr>
      </w:pPr>
      <w:r w:rsidRPr="007A4F46">
        <w:rPr>
          <w:rFonts w:ascii="Calibri" w:eastAsia="Times New Roman" w:hAnsi="Calibri" w:cs="Calibri"/>
          <w:color w:val="0E0E0E"/>
        </w:rPr>
        <w:t>Le modèle B2B offre une scalabilité importante, permettant de proposer la solution à d’autres médias avec un effort technique minimal.</w:t>
      </w:r>
    </w:p>
    <w:p w14:paraId="42BF8F36" w14:textId="40B75253" w:rsidR="002805AE" w:rsidRPr="007A4F46" w:rsidRDefault="002805AE" w:rsidP="00BC5010">
      <w:pPr>
        <w:pStyle w:val="ListParagraph"/>
        <w:numPr>
          <w:ilvl w:val="0"/>
          <w:numId w:val="4"/>
        </w:numPr>
        <w:spacing w:after="0" w:line="240" w:lineRule="auto"/>
        <w:rPr>
          <w:rFonts w:ascii="Calibri" w:eastAsia="Times New Roman" w:hAnsi="Calibri" w:cs="Calibri"/>
          <w:color w:val="0E0E0E"/>
        </w:rPr>
      </w:pPr>
      <w:r w:rsidRPr="007A4F46">
        <w:rPr>
          <w:rFonts w:ascii="Calibri" w:eastAsia="Times New Roman" w:hAnsi="Calibri" w:cs="Calibri"/>
          <w:color w:val="0E0E0E"/>
        </w:rPr>
        <w:t>Cette approche favorise une expansion rapide et efficace, notamment à l’international.</w:t>
      </w:r>
    </w:p>
    <w:p w14:paraId="4753EDAC" w14:textId="66F30050" w:rsidR="002805AE" w:rsidRPr="007A4F46" w:rsidRDefault="002805AE" w:rsidP="00BC5010">
      <w:pPr>
        <w:pStyle w:val="ListParagraph"/>
        <w:numPr>
          <w:ilvl w:val="0"/>
          <w:numId w:val="4"/>
        </w:numPr>
        <w:spacing w:after="0" w:line="240" w:lineRule="auto"/>
        <w:rPr>
          <w:rFonts w:ascii="Calibri" w:eastAsia="Times New Roman" w:hAnsi="Calibri" w:cs="Calibri"/>
          <w:color w:val="0E0E0E"/>
        </w:rPr>
      </w:pPr>
      <w:r w:rsidRPr="007A4F46">
        <w:rPr>
          <w:rFonts w:ascii="Calibri" w:eastAsia="Times New Roman" w:hAnsi="Calibri" w:cs="Calibri"/>
          <w:color w:val="0E0E0E"/>
        </w:rPr>
        <w:t xml:space="preserve"> </w:t>
      </w:r>
      <w:r w:rsidRPr="007A4F46">
        <w:rPr>
          <w:rFonts w:ascii="Calibri" w:eastAsia="Times New Roman" w:hAnsi="Calibri" w:cs="Calibri"/>
          <w:color w:val="0E0E0E"/>
        </w:rPr>
        <w:t>Les partenariats avec des médias reconnus renforcent la visibilité et la légitimité de l’entreprise.</w:t>
      </w:r>
    </w:p>
    <w:p w14:paraId="52B8C743" w14:textId="4103C24B" w:rsidR="002805AE" w:rsidRPr="007A4F46" w:rsidRDefault="009349D5" w:rsidP="00BC5010">
      <w:pPr>
        <w:pStyle w:val="ListParagraph"/>
        <w:numPr>
          <w:ilvl w:val="0"/>
          <w:numId w:val="4"/>
        </w:numPr>
        <w:spacing w:after="0" w:line="240" w:lineRule="auto"/>
        <w:rPr>
          <w:rFonts w:ascii="Calibri" w:eastAsia="Times New Roman" w:hAnsi="Calibri" w:cs="Calibri"/>
          <w:color w:val="0E0E0E"/>
        </w:rPr>
      </w:pPr>
      <w:r w:rsidRPr="007A4F46">
        <w:rPr>
          <w:rFonts w:ascii="Calibri" w:eastAsia="Times New Roman" w:hAnsi="Calibri" w:cs="Calibri"/>
          <w:color w:val="0E0E0E"/>
        </w:rPr>
        <w:t>Ces</w:t>
      </w:r>
      <w:r w:rsidR="002805AE" w:rsidRPr="007A4F46">
        <w:rPr>
          <w:rFonts w:ascii="Calibri" w:eastAsia="Times New Roman" w:hAnsi="Calibri" w:cs="Calibri"/>
          <w:color w:val="0E0E0E"/>
        </w:rPr>
        <w:t xml:space="preserve"> collaborations prestigieuses ouvrent des opportunités dans des secteurs comme l’éducation, l’édition ou la presse spécialisée.</w:t>
      </w:r>
    </w:p>
    <w:p w14:paraId="0D714EC6" w14:textId="4CC3C035" w:rsidR="001005B1" w:rsidRPr="007A4F46" w:rsidRDefault="002805AE" w:rsidP="002805AE">
      <w:pPr>
        <w:pStyle w:val="ListParagraph"/>
        <w:numPr>
          <w:ilvl w:val="0"/>
          <w:numId w:val="4"/>
        </w:numPr>
        <w:spacing w:after="0" w:line="240" w:lineRule="auto"/>
        <w:rPr>
          <w:rFonts w:ascii="Calibri" w:eastAsia="Times New Roman" w:hAnsi="Calibri" w:cs="Calibri"/>
          <w:color w:val="0E0E0E"/>
        </w:rPr>
      </w:pPr>
      <w:r w:rsidRPr="007A4F46">
        <w:rPr>
          <w:rFonts w:ascii="Calibri" w:eastAsia="Times New Roman" w:hAnsi="Calibri" w:cs="Calibri"/>
          <w:color w:val="0E0E0E"/>
        </w:rPr>
        <w:t>Le modèle diversifie ainsi les perspectives de croissance de manière significative.</w:t>
      </w:r>
    </w:p>
    <w:p w14:paraId="114913DF" w14:textId="77777777" w:rsidR="00BC5010" w:rsidRPr="007A4F46" w:rsidRDefault="00BC5010" w:rsidP="00BC5010">
      <w:pPr>
        <w:pStyle w:val="ListParagraph"/>
        <w:spacing w:after="0" w:line="240" w:lineRule="auto"/>
        <w:ind w:left="1068"/>
        <w:rPr>
          <w:rFonts w:ascii="Calibri" w:eastAsia="Times New Roman" w:hAnsi="Calibri" w:cs="Calibri"/>
          <w:color w:val="0E0E0E"/>
        </w:rPr>
      </w:pPr>
    </w:p>
    <w:p w14:paraId="4EE7B04F" w14:textId="72A14771" w:rsidR="001005B1" w:rsidRPr="007A4F46" w:rsidRDefault="001005B1" w:rsidP="002805AE">
      <w:pPr>
        <w:pStyle w:val="ListParagraph"/>
        <w:numPr>
          <w:ilvl w:val="0"/>
          <w:numId w:val="2"/>
        </w:numPr>
        <w:spacing w:line="240" w:lineRule="auto"/>
        <w:rPr>
          <w:rFonts w:ascii="Calibri" w:hAnsi="Calibri" w:cs="Calibri"/>
          <w:b/>
          <w:bCs/>
        </w:rPr>
      </w:pPr>
      <w:r w:rsidRPr="007A4F46">
        <w:rPr>
          <w:rFonts w:ascii="Calibri" w:hAnsi="Calibri" w:cs="Calibri"/>
          <w:b/>
          <w:bCs/>
        </w:rPr>
        <w:t>Réduction des coûts marketing et valorisation des ressources partenaires</w:t>
      </w:r>
    </w:p>
    <w:p w14:paraId="0BE93C6B" w14:textId="77777777" w:rsidR="002805AE" w:rsidRPr="007A4F46" w:rsidRDefault="002805AE" w:rsidP="002805AE">
      <w:pPr>
        <w:pStyle w:val="ListParagraph"/>
        <w:spacing w:line="240" w:lineRule="auto"/>
        <w:rPr>
          <w:rFonts w:ascii="Calibri" w:hAnsi="Calibri" w:cs="Calibri"/>
          <w:b/>
          <w:bCs/>
        </w:rPr>
      </w:pPr>
    </w:p>
    <w:p w14:paraId="22A09FF3" w14:textId="46115B84" w:rsidR="002805AE" w:rsidRPr="007A4F46" w:rsidRDefault="002805AE" w:rsidP="00BC5010">
      <w:pPr>
        <w:pStyle w:val="ListParagraph"/>
        <w:numPr>
          <w:ilvl w:val="0"/>
          <w:numId w:val="5"/>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Dans un modèle B2C, attirer des utilisateurs nécessite des dépenses importantes en publicité, SEO et marketing digital.</w:t>
      </w:r>
    </w:p>
    <w:p w14:paraId="0A14055A" w14:textId="3E10E67E" w:rsidR="002805AE" w:rsidRPr="007A4F46" w:rsidRDefault="002805AE" w:rsidP="00BC5010">
      <w:pPr>
        <w:pStyle w:val="ListParagraph"/>
        <w:numPr>
          <w:ilvl w:val="0"/>
          <w:numId w:val="5"/>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Le modèle B2B externalise ces efforts vers les partenaires médiatiques, qui disposent déjà d’une audience importante.</w:t>
      </w:r>
    </w:p>
    <w:p w14:paraId="7A09696C" w14:textId="385A8D95" w:rsidR="002805AE" w:rsidRPr="007A4F46" w:rsidRDefault="002805AE" w:rsidP="00BC5010">
      <w:pPr>
        <w:pStyle w:val="ListParagraph"/>
        <w:numPr>
          <w:ilvl w:val="0"/>
          <w:numId w:val="5"/>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Les médias partenaires ont intérêt à promouvoir les nouvelles fonctionnalités de la solution.</w:t>
      </w:r>
    </w:p>
    <w:p w14:paraId="2FE63A80" w14:textId="5363C75D" w:rsidR="002805AE" w:rsidRPr="007A4F46" w:rsidRDefault="002805AE" w:rsidP="00BC5010">
      <w:pPr>
        <w:pStyle w:val="ListParagraph"/>
        <w:numPr>
          <w:ilvl w:val="0"/>
          <w:numId w:val="5"/>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Cette stratégie permet à l’entreprise d’économiser des ressources tout en profitant de la visibilité et de la crédibilité des partenaires.</w:t>
      </w:r>
    </w:p>
    <w:p w14:paraId="0C38B1CF" w14:textId="3C55247B" w:rsidR="002805AE" w:rsidRPr="007A4F46" w:rsidRDefault="002805AE" w:rsidP="002805AE">
      <w:pPr>
        <w:pStyle w:val="ListParagraph"/>
        <w:numPr>
          <w:ilvl w:val="0"/>
          <w:numId w:val="5"/>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Elle réduit les coûts d’acquisition des utilisateurs finaux et améliore l’efficacité de la pénétration du marché.</w:t>
      </w:r>
    </w:p>
    <w:p w14:paraId="6ADFB8D7" w14:textId="33EB28A9" w:rsidR="001005B1" w:rsidRPr="007A4F46" w:rsidRDefault="001005B1" w:rsidP="002805AE">
      <w:pPr>
        <w:spacing w:line="240" w:lineRule="auto"/>
        <w:rPr>
          <w:rFonts w:ascii="Calibri" w:hAnsi="Calibri" w:cs="Calibri"/>
        </w:rPr>
      </w:pPr>
    </w:p>
    <w:p w14:paraId="23C30B84" w14:textId="6A258FE4" w:rsidR="001005B1" w:rsidRPr="007A4F46" w:rsidRDefault="001005B1" w:rsidP="002805AE">
      <w:pPr>
        <w:pStyle w:val="ListParagraph"/>
        <w:numPr>
          <w:ilvl w:val="0"/>
          <w:numId w:val="2"/>
        </w:numPr>
        <w:spacing w:line="240" w:lineRule="auto"/>
        <w:rPr>
          <w:rFonts w:ascii="Calibri" w:hAnsi="Calibri" w:cs="Calibri"/>
          <w:b/>
          <w:bCs/>
        </w:rPr>
      </w:pPr>
      <w:r w:rsidRPr="007A4F46">
        <w:rPr>
          <w:rFonts w:ascii="Calibri" w:hAnsi="Calibri" w:cs="Calibri"/>
          <w:b/>
          <w:bCs/>
        </w:rPr>
        <w:t>Amélioration de l’expérience utilisateur et différenciation compétitive</w:t>
      </w:r>
    </w:p>
    <w:p w14:paraId="353A7687" w14:textId="77777777" w:rsidR="002805AE" w:rsidRPr="007A4F46" w:rsidRDefault="002805AE" w:rsidP="002805AE">
      <w:pPr>
        <w:pStyle w:val="ListParagraph"/>
        <w:spacing w:line="240" w:lineRule="auto"/>
        <w:rPr>
          <w:rFonts w:ascii="Calibri" w:hAnsi="Calibri" w:cs="Calibri"/>
          <w:b/>
          <w:bCs/>
        </w:rPr>
      </w:pPr>
    </w:p>
    <w:p w14:paraId="50B5BF39" w14:textId="7380FEAB" w:rsidR="002805AE" w:rsidRPr="007A4F46" w:rsidRDefault="002805AE" w:rsidP="00BC5010">
      <w:pPr>
        <w:pStyle w:val="ListParagraph"/>
        <w:numPr>
          <w:ilvl w:val="0"/>
          <w:numId w:val="6"/>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Intégrer une solution de résumé sur les sites des médias améliore l’expérience utilisateur, en offrant un accès rapide aux informations clés sans quitter la plateforme.</w:t>
      </w:r>
    </w:p>
    <w:p w14:paraId="4CD0774E" w14:textId="6F0D7333" w:rsidR="002805AE" w:rsidRPr="007A4F46" w:rsidRDefault="002805AE" w:rsidP="00BC5010">
      <w:pPr>
        <w:pStyle w:val="ListParagraph"/>
        <w:numPr>
          <w:ilvl w:val="0"/>
          <w:numId w:val="6"/>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 xml:space="preserve">Cela </w:t>
      </w:r>
      <w:r w:rsidRPr="007A4F46">
        <w:rPr>
          <w:rFonts w:ascii="Calibri" w:eastAsia="Times New Roman" w:hAnsi="Calibri" w:cs="Calibri"/>
          <w:color w:val="0E0E0E"/>
        </w:rPr>
        <w:t>réduit le taux de rebond et augmente le temps passé sur le site.</w:t>
      </w:r>
    </w:p>
    <w:p w14:paraId="43479CDC" w14:textId="4C6CC720" w:rsidR="002805AE" w:rsidRPr="007A4F46" w:rsidRDefault="002805AE" w:rsidP="00BC5010">
      <w:pPr>
        <w:pStyle w:val="ListParagraph"/>
        <w:numPr>
          <w:ilvl w:val="0"/>
          <w:numId w:val="6"/>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 xml:space="preserve">Pour </w:t>
      </w:r>
      <w:r w:rsidRPr="007A4F46">
        <w:rPr>
          <w:rFonts w:ascii="Calibri" w:eastAsia="Times New Roman" w:hAnsi="Calibri" w:cs="Calibri"/>
          <w:color w:val="0E0E0E"/>
        </w:rPr>
        <w:t>les médias, c’est une occasion d’enrichir leur offre de contenu et de se démarquer de la concurrence.</w:t>
      </w:r>
    </w:p>
    <w:p w14:paraId="1F0BCD9D" w14:textId="328E92FD" w:rsidR="002805AE" w:rsidRPr="007A4F46" w:rsidRDefault="002805AE" w:rsidP="00BC5010">
      <w:pPr>
        <w:pStyle w:val="ListParagraph"/>
        <w:numPr>
          <w:ilvl w:val="0"/>
          <w:numId w:val="6"/>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La personnalisation de la solution (longueur des résumés, ton adapté à l’audience) répond aux besoins spécifiques des partenaires.</w:t>
      </w:r>
    </w:p>
    <w:p w14:paraId="076C13F1" w14:textId="0CB79C3D" w:rsidR="002805AE" w:rsidRPr="007A4F46" w:rsidRDefault="002805AE" w:rsidP="002805AE">
      <w:pPr>
        <w:pStyle w:val="ListParagraph"/>
        <w:numPr>
          <w:ilvl w:val="0"/>
          <w:numId w:val="6"/>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Cette approche sur mesure renforce la valeur ajoutée du produit et s’aligne avec les attentes du marché.</w:t>
      </w:r>
    </w:p>
    <w:p w14:paraId="2E09A20F" w14:textId="08183370" w:rsidR="001005B1" w:rsidRPr="007A4F46" w:rsidRDefault="001005B1" w:rsidP="002805AE">
      <w:pPr>
        <w:spacing w:line="240" w:lineRule="auto"/>
        <w:rPr>
          <w:rFonts w:ascii="Calibri" w:hAnsi="Calibri" w:cs="Calibri"/>
        </w:rPr>
      </w:pPr>
    </w:p>
    <w:p w14:paraId="429AE0C8" w14:textId="167A4DAC" w:rsidR="001005B1" w:rsidRPr="007A4F46" w:rsidRDefault="001005B1" w:rsidP="002805AE">
      <w:pPr>
        <w:pStyle w:val="ListParagraph"/>
        <w:numPr>
          <w:ilvl w:val="0"/>
          <w:numId w:val="2"/>
        </w:numPr>
        <w:spacing w:line="240" w:lineRule="auto"/>
        <w:rPr>
          <w:rFonts w:ascii="Calibri" w:hAnsi="Calibri" w:cs="Calibri"/>
          <w:b/>
          <w:bCs/>
        </w:rPr>
      </w:pPr>
      <w:r w:rsidRPr="007A4F46">
        <w:rPr>
          <w:rFonts w:ascii="Calibri" w:hAnsi="Calibri" w:cs="Calibri"/>
          <w:b/>
          <w:bCs/>
        </w:rPr>
        <w:t>Un modèle éthique et légalement avantageux</w:t>
      </w:r>
    </w:p>
    <w:p w14:paraId="3E59DD5C" w14:textId="77777777" w:rsidR="002805AE" w:rsidRPr="007A4F46" w:rsidRDefault="002805AE" w:rsidP="002805AE">
      <w:pPr>
        <w:pStyle w:val="ListParagraph"/>
        <w:spacing w:before="180" w:after="0" w:line="240" w:lineRule="auto"/>
        <w:rPr>
          <w:rFonts w:ascii="Calibri" w:eastAsia="Times New Roman" w:hAnsi="Calibri" w:cs="Calibri"/>
          <w:color w:val="0E0E0E"/>
        </w:rPr>
      </w:pPr>
    </w:p>
    <w:p w14:paraId="3DF72547" w14:textId="707B58EE" w:rsidR="002805AE" w:rsidRPr="007A4F46" w:rsidRDefault="002805AE" w:rsidP="00BC5010">
      <w:pPr>
        <w:pStyle w:val="ListParagraph"/>
        <w:numPr>
          <w:ilvl w:val="0"/>
          <w:numId w:val="7"/>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Le modèle B2B résout les problématiques légales et éthiques liées à l’utilisation du contenu en collaborant directement avec les médias.</w:t>
      </w:r>
    </w:p>
    <w:p w14:paraId="4A6FE674" w14:textId="15DA418F" w:rsidR="002805AE" w:rsidRPr="007A4F46" w:rsidRDefault="002805AE" w:rsidP="00BC5010">
      <w:pPr>
        <w:pStyle w:val="ListParagraph"/>
        <w:numPr>
          <w:ilvl w:val="0"/>
          <w:numId w:val="7"/>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Travailler en tant que partenaire et non concurrent élimine les conflits sur les droits d’auteur.</w:t>
      </w:r>
    </w:p>
    <w:p w14:paraId="03FA3341" w14:textId="1A7F6B23" w:rsidR="002805AE" w:rsidRPr="007A4F46" w:rsidRDefault="002805AE" w:rsidP="00BC5010">
      <w:pPr>
        <w:pStyle w:val="ListParagraph"/>
        <w:numPr>
          <w:ilvl w:val="0"/>
          <w:numId w:val="7"/>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Cette approche renforce l’image de marque et positionne l’entreprise comme un acteur éthique.</w:t>
      </w:r>
    </w:p>
    <w:p w14:paraId="0C646B22" w14:textId="03DC583D" w:rsidR="002805AE" w:rsidRPr="007A4F46" w:rsidRDefault="002805AE" w:rsidP="00BC5010">
      <w:pPr>
        <w:pStyle w:val="ListParagraph"/>
        <w:numPr>
          <w:ilvl w:val="0"/>
          <w:numId w:val="7"/>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La transparence des relations commerciales favorise des collaborations solides.</w:t>
      </w:r>
    </w:p>
    <w:p w14:paraId="55C0DED3" w14:textId="1F91115C" w:rsidR="002805AE" w:rsidRPr="007A4F46" w:rsidRDefault="002805AE" w:rsidP="002805AE">
      <w:pPr>
        <w:pStyle w:val="ListParagraph"/>
        <w:numPr>
          <w:ilvl w:val="0"/>
          <w:numId w:val="7"/>
        </w:numPr>
        <w:spacing w:before="180" w:after="0" w:line="240" w:lineRule="auto"/>
        <w:rPr>
          <w:rFonts w:ascii="Calibri" w:eastAsia="Times New Roman" w:hAnsi="Calibri" w:cs="Calibri"/>
          <w:color w:val="0E0E0E"/>
        </w:rPr>
      </w:pPr>
      <w:r w:rsidRPr="007A4F46">
        <w:rPr>
          <w:rFonts w:ascii="Calibri" w:eastAsia="Times New Roman" w:hAnsi="Calibri" w:cs="Calibri"/>
          <w:color w:val="0E0E0E"/>
        </w:rPr>
        <w:t>Cela inspire confiance et attire de nouveaux partenaires potentiels.</w:t>
      </w:r>
    </w:p>
    <w:p w14:paraId="3657AC6D" w14:textId="5490E57D" w:rsidR="001005B1" w:rsidRPr="007A4F46" w:rsidRDefault="00523832" w:rsidP="002805AE">
      <w:pPr>
        <w:spacing w:line="240" w:lineRule="auto"/>
        <w:rPr>
          <w:rFonts w:ascii="Calibri" w:hAnsi="Calibri" w:cs="Calibri"/>
        </w:rPr>
      </w:pPr>
      <w:r w:rsidRPr="00523832">
        <w:rPr>
          <w:rFonts w:ascii="Calibri" w:hAnsi="Calibri" w:cs="Calibri"/>
          <w:noProof/>
        </w:rPr>
        <w:pict w14:anchorId="6CF1896F">
          <v:rect id="_x0000_i1025" alt="" style="width:453.5pt;height:.05pt;mso-width-percent:0;mso-height-percent:0;mso-width-percent:0;mso-height-percent:0" o:hrpct="969" o:hrstd="t" o:hrnoshade="t" o:hr="t" fillcolor="#0d0d0d" stroked="f"/>
        </w:pict>
      </w:r>
    </w:p>
    <w:p w14:paraId="5C7E9AF3" w14:textId="77777777" w:rsidR="001005B1" w:rsidRPr="007A4F46" w:rsidRDefault="001005B1" w:rsidP="002805AE">
      <w:pPr>
        <w:spacing w:line="240" w:lineRule="auto"/>
        <w:rPr>
          <w:rFonts w:ascii="Calibri" w:hAnsi="Calibri" w:cs="Calibri"/>
          <w:b/>
          <w:bCs/>
        </w:rPr>
      </w:pPr>
      <w:r w:rsidRPr="007A4F46">
        <w:rPr>
          <w:rFonts w:ascii="Calibri" w:hAnsi="Calibri" w:cs="Calibri"/>
          <w:b/>
          <w:bCs/>
        </w:rPr>
        <w:t>Conclusion</w:t>
      </w:r>
    </w:p>
    <w:p w14:paraId="1A96E66B" w14:textId="3EC5020E" w:rsidR="001005B1" w:rsidRPr="007A4F46" w:rsidRDefault="007A4F46" w:rsidP="002805AE">
      <w:pPr>
        <w:spacing w:line="240" w:lineRule="auto"/>
        <w:rPr>
          <w:rFonts w:ascii="Calibri" w:hAnsi="Calibri" w:cs="Calibri"/>
        </w:rPr>
      </w:pPr>
      <w:r w:rsidRPr="007A4F46">
        <w:rPr>
          <w:rFonts w:ascii="Calibri" w:hAnsi="Calibri" w:cs="Calibri"/>
        </w:rPr>
        <w:t>En choisissant un modèle B2B avec les médias, l’entreprise adopte une stratégie pratique et innovante. Cela permet de dépasser les limites du B2C en s’appuyant sur des partenariats solides. Ce modèle offre une valeur ajoutée claire, favorisant une croissance durable et une meilleure position sur le marché.</w:t>
      </w:r>
    </w:p>
    <w:p w14:paraId="4681F164" w14:textId="77777777" w:rsidR="00540D97" w:rsidRPr="007A4F46" w:rsidRDefault="00540D97" w:rsidP="002805AE">
      <w:pPr>
        <w:spacing w:line="240" w:lineRule="auto"/>
        <w:rPr>
          <w:rFonts w:ascii="Calibri" w:hAnsi="Calibri" w:cs="Calibri"/>
        </w:rPr>
      </w:pPr>
    </w:p>
    <w:sectPr w:rsidR="00540D97" w:rsidRPr="007A4F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7B54"/>
    <w:multiLevelType w:val="multilevel"/>
    <w:tmpl w:val="493AB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95C84"/>
    <w:multiLevelType w:val="hybridMultilevel"/>
    <w:tmpl w:val="E0BE6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514878"/>
    <w:multiLevelType w:val="hybridMultilevel"/>
    <w:tmpl w:val="E6AAB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4D562E"/>
    <w:multiLevelType w:val="hybridMultilevel"/>
    <w:tmpl w:val="B1AA4CC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6F155868"/>
    <w:multiLevelType w:val="hybridMultilevel"/>
    <w:tmpl w:val="B176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C18DA"/>
    <w:multiLevelType w:val="hybridMultilevel"/>
    <w:tmpl w:val="3D4849F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77CC1DFD"/>
    <w:multiLevelType w:val="hybridMultilevel"/>
    <w:tmpl w:val="5FE41CF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1164778731">
    <w:abstractNumId w:val="0"/>
  </w:num>
  <w:num w:numId="2" w16cid:durableId="1633949242">
    <w:abstractNumId w:val="4"/>
  </w:num>
  <w:num w:numId="3" w16cid:durableId="1895845228">
    <w:abstractNumId w:val="6"/>
  </w:num>
  <w:num w:numId="4" w16cid:durableId="576865112">
    <w:abstractNumId w:val="3"/>
  </w:num>
  <w:num w:numId="5" w16cid:durableId="1707288777">
    <w:abstractNumId w:val="2"/>
  </w:num>
  <w:num w:numId="6" w16cid:durableId="294257674">
    <w:abstractNumId w:val="1"/>
  </w:num>
  <w:num w:numId="7" w16cid:durableId="1518887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04"/>
    <w:rsid w:val="001005B1"/>
    <w:rsid w:val="002805AE"/>
    <w:rsid w:val="002D1DF6"/>
    <w:rsid w:val="003874E4"/>
    <w:rsid w:val="00511BBF"/>
    <w:rsid w:val="00523832"/>
    <w:rsid w:val="00540D97"/>
    <w:rsid w:val="007A4F46"/>
    <w:rsid w:val="007A7F04"/>
    <w:rsid w:val="00886857"/>
    <w:rsid w:val="009349D5"/>
    <w:rsid w:val="009C03B8"/>
    <w:rsid w:val="00B92487"/>
    <w:rsid w:val="00BA0DEA"/>
    <w:rsid w:val="00BC5010"/>
    <w:rsid w:val="00C55CA4"/>
    <w:rsid w:val="00CA1E98"/>
    <w:rsid w:val="00E81E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86EE"/>
  <w15:chartTrackingRefBased/>
  <w15:docId w15:val="{8125FBD9-3A1D-4EB6-9788-329DF706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F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7F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7F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7F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7F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7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7F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7F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7F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7F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7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F04"/>
    <w:rPr>
      <w:rFonts w:eastAsiaTheme="majorEastAsia" w:cstheme="majorBidi"/>
      <w:color w:val="272727" w:themeColor="text1" w:themeTint="D8"/>
    </w:rPr>
  </w:style>
  <w:style w:type="paragraph" w:styleId="Title">
    <w:name w:val="Title"/>
    <w:basedOn w:val="Normal"/>
    <w:next w:val="Normal"/>
    <w:link w:val="TitleChar"/>
    <w:uiPriority w:val="10"/>
    <w:qFormat/>
    <w:rsid w:val="007A7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F04"/>
    <w:pPr>
      <w:spacing w:before="160"/>
      <w:jc w:val="center"/>
    </w:pPr>
    <w:rPr>
      <w:i/>
      <w:iCs/>
      <w:color w:val="404040" w:themeColor="text1" w:themeTint="BF"/>
    </w:rPr>
  </w:style>
  <w:style w:type="character" w:customStyle="1" w:styleId="QuoteChar">
    <w:name w:val="Quote Char"/>
    <w:basedOn w:val="DefaultParagraphFont"/>
    <w:link w:val="Quote"/>
    <w:uiPriority w:val="29"/>
    <w:rsid w:val="007A7F04"/>
    <w:rPr>
      <w:i/>
      <w:iCs/>
      <w:color w:val="404040" w:themeColor="text1" w:themeTint="BF"/>
    </w:rPr>
  </w:style>
  <w:style w:type="paragraph" w:styleId="ListParagraph">
    <w:name w:val="List Paragraph"/>
    <w:basedOn w:val="Normal"/>
    <w:uiPriority w:val="34"/>
    <w:qFormat/>
    <w:rsid w:val="007A7F04"/>
    <w:pPr>
      <w:ind w:left="720"/>
      <w:contextualSpacing/>
    </w:pPr>
  </w:style>
  <w:style w:type="character" w:styleId="IntenseEmphasis">
    <w:name w:val="Intense Emphasis"/>
    <w:basedOn w:val="DefaultParagraphFont"/>
    <w:uiPriority w:val="21"/>
    <w:qFormat/>
    <w:rsid w:val="007A7F04"/>
    <w:rPr>
      <w:i/>
      <w:iCs/>
      <w:color w:val="2F5496" w:themeColor="accent1" w:themeShade="BF"/>
    </w:rPr>
  </w:style>
  <w:style w:type="paragraph" w:styleId="IntenseQuote">
    <w:name w:val="Intense Quote"/>
    <w:basedOn w:val="Normal"/>
    <w:next w:val="Normal"/>
    <w:link w:val="IntenseQuoteChar"/>
    <w:uiPriority w:val="30"/>
    <w:qFormat/>
    <w:rsid w:val="007A7F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7F04"/>
    <w:rPr>
      <w:i/>
      <w:iCs/>
      <w:color w:val="2F5496" w:themeColor="accent1" w:themeShade="BF"/>
    </w:rPr>
  </w:style>
  <w:style w:type="character" w:styleId="IntenseReference">
    <w:name w:val="Intense Reference"/>
    <w:basedOn w:val="DefaultParagraphFont"/>
    <w:uiPriority w:val="32"/>
    <w:qFormat/>
    <w:rsid w:val="007A7F04"/>
    <w:rPr>
      <w:b/>
      <w:bCs/>
      <w:smallCaps/>
      <w:color w:val="2F5496" w:themeColor="accent1" w:themeShade="BF"/>
      <w:spacing w:val="5"/>
    </w:rPr>
  </w:style>
  <w:style w:type="paragraph" w:customStyle="1" w:styleId="p1">
    <w:name w:val="p1"/>
    <w:basedOn w:val="Normal"/>
    <w:rsid w:val="002805AE"/>
    <w:pPr>
      <w:spacing w:after="0" w:line="240" w:lineRule="auto"/>
    </w:pPr>
    <w:rPr>
      <w:rFonts w:ascii="Helvetica Neue" w:eastAsia="Times New Roman" w:hAnsi="Helvetica Neue" w:cs="Times New Roman"/>
      <w:color w:val="000000"/>
      <w:sz w:val="21"/>
      <w:szCs w:val="21"/>
      <w:lang w:val="en-US"/>
    </w:rPr>
  </w:style>
  <w:style w:type="paragraph" w:customStyle="1" w:styleId="p2">
    <w:name w:val="p2"/>
    <w:basedOn w:val="Normal"/>
    <w:rsid w:val="002805AE"/>
    <w:pPr>
      <w:spacing w:after="0" w:line="240" w:lineRule="auto"/>
    </w:pPr>
    <w:rPr>
      <w:rFonts w:ascii="Helvetica Neue" w:eastAsia="Times New Roman" w:hAnsi="Helvetica Neue" w:cs="Times New Roman"/>
      <w:color w:val="000000"/>
      <w:sz w:val="21"/>
      <w:szCs w:val="21"/>
      <w:lang w:val="en-US"/>
    </w:rPr>
  </w:style>
  <w:style w:type="character" w:customStyle="1" w:styleId="apple-tab-span">
    <w:name w:val="apple-tab-span"/>
    <w:basedOn w:val="DefaultParagraphFont"/>
    <w:rsid w:val="0028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7386">
      <w:bodyDiv w:val="1"/>
      <w:marLeft w:val="0"/>
      <w:marRight w:val="0"/>
      <w:marTop w:val="0"/>
      <w:marBottom w:val="0"/>
      <w:divBdr>
        <w:top w:val="none" w:sz="0" w:space="0" w:color="auto"/>
        <w:left w:val="none" w:sz="0" w:space="0" w:color="auto"/>
        <w:bottom w:val="none" w:sz="0" w:space="0" w:color="auto"/>
        <w:right w:val="none" w:sz="0" w:space="0" w:color="auto"/>
      </w:divBdr>
    </w:div>
    <w:div w:id="116143119">
      <w:bodyDiv w:val="1"/>
      <w:marLeft w:val="0"/>
      <w:marRight w:val="0"/>
      <w:marTop w:val="0"/>
      <w:marBottom w:val="0"/>
      <w:divBdr>
        <w:top w:val="none" w:sz="0" w:space="0" w:color="auto"/>
        <w:left w:val="none" w:sz="0" w:space="0" w:color="auto"/>
        <w:bottom w:val="none" w:sz="0" w:space="0" w:color="auto"/>
        <w:right w:val="none" w:sz="0" w:space="0" w:color="auto"/>
      </w:divBdr>
    </w:div>
    <w:div w:id="357438371">
      <w:bodyDiv w:val="1"/>
      <w:marLeft w:val="0"/>
      <w:marRight w:val="0"/>
      <w:marTop w:val="0"/>
      <w:marBottom w:val="0"/>
      <w:divBdr>
        <w:top w:val="none" w:sz="0" w:space="0" w:color="auto"/>
        <w:left w:val="none" w:sz="0" w:space="0" w:color="auto"/>
        <w:bottom w:val="none" w:sz="0" w:space="0" w:color="auto"/>
        <w:right w:val="none" w:sz="0" w:space="0" w:color="auto"/>
      </w:divBdr>
    </w:div>
    <w:div w:id="388038946">
      <w:bodyDiv w:val="1"/>
      <w:marLeft w:val="0"/>
      <w:marRight w:val="0"/>
      <w:marTop w:val="0"/>
      <w:marBottom w:val="0"/>
      <w:divBdr>
        <w:top w:val="none" w:sz="0" w:space="0" w:color="auto"/>
        <w:left w:val="none" w:sz="0" w:space="0" w:color="auto"/>
        <w:bottom w:val="none" w:sz="0" w:space="0" w:color="auto"/>
        <w:right w:val="none" w:sz="0" w:space="0" w:color="auto"/>
      </w:divBdr>
    </w:div>
    <w:div w:id="443303152">
      <w:bodyDiv w:val="1"/>
      <w:marLeft w:val="0"/>
      <w:marRight w:val="0"/>
      <w:marTop w:val="0"/>
      <w:marBottom w:val="0"/>
      <w:divBdr>
        <w:top w:val="none" w:sz="0" w:space="0" w:color="auto"/>
        <w:left w:val="none" w:sz="0" w:space="0" w:color="auto"/>
        <w:bottom w:val="none" w:sz="0" w:space="0" w:color="auto"/>
        <w:right w:val="none" w:sz="0" w:space="0" w:color="auto"/>
      </w:divBdr>
    </w:div>
    <w:div w:id="454982316">
      <w:bodyDiv w:val="1"/>
      <w:marLeft w:val="0"/>
      <w:marRight w:val="0"/>
      <w:marTop w:val="0"/>
      <w:marBottom w:val="0"/>
      <w:divBdr>
        <w:top w:val="none" w:sz="0" w:space="0" w:color="auto"/>
        <w:left w:val="none" w:sz="0" w:space="0" w:color="auto"/>
        <w:bottom w:val="none" w:sz="0" w:space="0" w:color="auto"/>
        <w:right w:val="none" w:sz="0" w:space="0" w:color="auto"/>
      </w:divBdr>
    </w:div>
    <w:div w:id="457921292">
      <w:bodyDiv w:val="1"/>
      <w:marLeft w:val="0"/>
      <w:marRight w:val="0"/>
      <w:marTop w:val="0"/>
      <w:marBottom w:val="0"/>
      <w:divBdr>
        <w:top w:val="none" w:sz="0" w:space="0" w:color="auto"/>
        <w:left w:val="none" w:sz="0" w:space="0" w:color="auto"/>
        <w:bottom w:val="none" w:sz="0" w:space="0" w:color="auto"/>
        <w:right w:val="none" w:sz="0" w:space="0" w:color="auto"/>
      </w:divBdr>
    </w:div>
    <w:div w:id="719868292">
      <w:bodyDiv w:val="1"/>
      <w:marLeft w:val="0"/>
      <w:marRight w:val="0"/>
      <w:marTop w:val="0"/>
      <w:marBottom w:val="0"/>
      <w:divBdr>
        <w:top w:val="none" w:sz="0" w:space="0" w:color="auto"/>
        <w:left w:val="none" w:sz="0" w:space="0" w:color="auto"/>
        <w:bottom w:val="none" w:sz="0" w:space="0" w:color="auto"/>
        <w:right w:val="none" w:sz="0" w:space="0" w:color="auto"/>
      </w:divBdr>
    </w:div>
    <w:div w:id="807474750">
      <w:bodyDiv w:val="1"/>
      <w:marLeft w:val="0"/>
      <w:marRight w:val="0"/>
      <w:marTop w:val="0"/>
      <w:marBottom w:val="0"/>
      <w:divBdr>
        <w:top w:val="none" w:sz="0" w:space="0" w:color="auto"/>
        <w:left w:val="none" w:sz="0" w:space="0" w:color="auto"/>
        <w:bottom w:val="none" w:sz="0" w:space="0" w:color="auto"/>
        <w:right w:val="none" w:sz="0" w:space="0" w:color="auto"/>
      </w:divBdr>
    </w:div>
    <w:div w:id="898245093">
      <w:bodyDiv w:val="1"/>
      <w:marLeft w:val="0"/>
      <w:marRight w:val="0"/>
      <w:marTop w:val="0"/>
      <w:marBottom w:val="0"/>
      <w:divBdr>
        <w:top w:val="none" w:sz="0" w:space="0" w:color="auto"/>
        <w:left w:val="none" w:sz="0" w:space="0" w:color="auto"/>
        <w:bottom w:val="none" w:sz="0" w:space="0" w:color="auto"/>
        <w:right w:val="none" w:sz="0" w:space="0" w:color="auto"/>
      </w:divBdr>
    </w:div>
    <w:div w:id="1021325075">
      <w:bodyDiv w:val="1"/>
      <w:marLeft w:val="0"/>
      <w:marRight w:val="0"/>
      <w:marTop w:val="0"/>
      <w:marBottom w:val="0"/>
      <w:divBdr>
        <w:top w:val="none" w:sz="0" w:space="0" w:color="auto"/>
        <w:left w:val="none" w:sz="0" w:space="0" w:color="auto"/>
        <w:bottom w:val="none" w:sz="0" w:space="0" w:color="auto"/>
        <w:right w:val="none" w:sz="0" w:space="0" w:color="auto"/>
      </w:divBdr>
    </w:div>
    <w:div w:id="1685553070">
      <w:bodyDiv w:val="1"/>
      <w:marLeft w:val="0"/>
      <w:marRight w:val="0"/>
      <w:marTop w:val="0"/>
      <w:marBottom w:val="0"/>
      <w:divBdr>
        <w:top w:val="none" w:sz="0" w:space="0" w:color="auto"/>
        <w:left w:val="none" w:sz="0" w:space="0" w:color="auto"/>
        <w:bottom w:val="none" w:sz="0" w:space="0" w:color="auto"/>
        <w:right w:val="none" w:sz="0" w:space="0" w:color="auto"/>
      </w:divBdr>
    </w:div>
    <w:div w:id="173677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831</Words>
  <Characters>4742</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Keys TCHOUMBA TONDJI</dc:creator>
  <cp:keywords/>
  <dc:description/>
  <cp:lastModifiedBy>Taoufiq Ouedraogo</cp:lastModifiedBy>
  <cp:revision>7</cp:revision>
  <dcterms:created xsi:type="dcterms:W3CDTF">2024-12-02T10:44:00Z</dcterms:created>
  <dcterms:modified xsi:type="dcterms:W3CDTF">2024-12-08T21:50:00Z</dcterms:modified>
</cp:coreProperties>
</file>