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Life App</w:t>
        <w:br/>
        <w:t>Teaching &amp; Progress System</w:t>
      </w:r>
    </w:p>
    <w:p>
      <w:r>
        <w:rPr>
          <w:b/>
        </w:rPr>
        <w:t>Product specification · Draft 0.1 · 16 October 2026</w:t>
      </w:r>
    </w:p>
    <w:p>
      <w:r>
        <w:t>Product promise: Start where you are. A little better every day. Life App teaches people what progress can look like, explains why a next step is appropriate, and helps them take that step without guilt or unrealistic expectations.</w:t>
      </w:r>
    </w:p>
    <w:p>
      <w:pPr>
        <w:pStyle w:val="Heading1"/>
      </w:pPr>
      <w:r>
        <w:t>1. Product requirement</w:t>
      </w:r>
    </w:p>
    <w:p>
      <w:r>
        <w:t>Every module and every user level must answer four questions: Where am I now? What does a realistic path toward my goal look like? Why is the next step useful? How will I know whether to repeat, adjust or progress? The app is a teacher and guide, not just a tracker.</w:t>
      </w:r>
    </w:p>
    <w:p>
      <w:pPr>
        <w:pStyle w:val="Heading1"/>
      </w:pPr>
      <w:r>
        <w:t>2. Shared teaching loop</w:t>
      </w:r>
    </w:p>
    <w:p>
      <w:pPr>
        <w:pStyle w:val="ListNumber"/>
      </w:pPr>
      <w:r>
        <w:t>Understand the starting point: goal, current behavior, experience, time, resources, preferences and relevant constraints. Keep questions short and allow users to skip nonessential questions.</w:t>
      </w:r>
    </w:p>
    <w:p>
      <w:pPr>
        <w:pStyle w:val="ListNumber"/>
      </w:pPr>
      <w:r>
        <w:t>Explain the destination: describe the goal in plain language and distinguish a long-term outcome from a near-term behavior the user can control.</w:t>
      </w:r>
    </w:p>
    <w:p>
      <w:pPr>
        <w:pStyle w:val="ListNumber"/>
      </w:pPr>
      <w:r>
        <w:t>Show a staged path: baseline → first manageable action → repeatable routine → gradual progression → review and adapt. Stages are illustrative, not a rigid timetable.</w:t>
      </w:r>
    </w:p>
    <w:p>
      <w:pPr>
        <w:pStyle w:val="ListNumber"/>
      </w:pPr>
      <w:r>
        <w:t>Give one next action: specify what to do, roughly how much, when it fits, and an easier alternative.</w:t>
      </w:r>
    </w:p>
    <w:p>
      <w:pPr>
        <w:pStyle w:val="ListNumber"/>
      </w:pPr>
      <w:r>
        <w:t>Explain the why: show a short rationale and a source or a clear label when a suggestion is an estimate or product-generated recommendation.</w:t>
      </w:r>
    </w:p>
    <w:p>
      <w:pPr>
        <w:pStyle w:val="ListNumber"/>
      </w:pPr>
      <w:r>
        <w:t>Measure what matters: record actions and outcomes separately; show trends and uncertainty instead of over-interpreting one day.</w:t>
      </w:r>
    </w:p>
    <w:p>
      <w:pPr>
        <w:pStyle w:val="ListNumber"/>
      </w:pPr>
      <w:r>
        <w:t>Adapt gently: repeat, reduce, hold steady or increase difficulty based on observed progress and the user’s feedback. Missing a day is information, not failure.</w:t>
      </w:r>
    </w:p>
    <w:p>
      <w:pPr>
        <w:pStyle w:val="Heading1"/>
      </w:pPr>
      <w:r>
        <w:t>3. Module-specific application</w:t>
      </w:r>
    </w:p>
    <w:p>
      <w:pPr>
        <w:pStyle w:val="Heading2"/>
      </w:pPr>
      <w:r>
        <w:t>Fitness Builder</w:t>
      </w:r>
    </w:p>
    <w:p>
      <w:pPr>
        <w:pStyle w:val="ListBullet"/>
      </w:pPr>
      <w:r>
        <w:t>Start with movement experience, available equipment, time and goal; ask about relevant limitations in a respectful, optional way and do not diagnose.</w:t>
      </w:r>
    </w:p>
    <w:p>
      <w:pPr>
        <w:pStyle w:val="ListBullet"/>
      </w:pPr>
      <w:r>
        <w:t>Teach safe setup, plain-language form cues, common mistakes, and easier alternatives. Make it clear when professional guidance may be needed.</w:t>
      </w:r>
    </w:p>
    <w:p>
      <w:pPr>
        <w:pStyle w:val="ListBullet"/>
      </w:pPr>
      <w:r>
        <w:t>Progression should be based on manageability, technique confidence, recovery and repeated sessions—not on streaks alone. Increase one variable at a time where appropriate (e.g., reps, load, duration or frequency).</w:t>
      </w:r>
    </w:p>
    <w:p>
      <w:pPr>
        <w:pStyle w:val="ListBullet"/>
      </w:pPr>
      <w:r>
        <w:t>Explain the distinction between a beginner starting plan and public-health guidance. For adults, WHO guidance recommends 150–300 minutes of moderate aerobic activity per week (or equivalent) and muscle-strengthening activities involving major muscle groups on 2+ days per week; inactive people should start with small amounts and gradually increase. This is a population-level direction, not a first-week quota.</w:t>
      </w:r>
    </w:p>
    <w:p>
      <w:pPr>
        <w:pStyle w:val="Heading2"/>
      </w:pPr>
      <w:r>
        <w:t>Nutrition &amp; Weight</w:t>
      </w:r>
    </w:p>
    <w:p>
      <w:pPr>
        <w:pStyle w:val="ListBullet"/>
      </w:pPr>
      <w:r>
        <w:t>Teach foundational concepts (balanced meals, protein, fibre, energy intake, hydration) in small lessons tied to the user’s goal.</w:t>
      </w:r>
    </w:p>
    <w:p>
      <w:pPr>
        <w:pStyle w:val="ListBullet"/>
      </w:pPr>
      <w:r>
        <w:t>Avoid presenting a single calorie or weight target as universally correct. Collect relevant context and explain assumptions; add clinical safeguards for pregnancy, eating-disorder risk, medical conditions, minors or other higher-risk contexts.</w:t>
      </w:r>
    </w:p>
    <w:p>
      <w:pPr>
        <w:pStyle w:val="ListBullet"/>
      </w:pPr>
      <w:r>
        <w:t>Show patterns and ranges where appropriate; explain normal day-to-day variation. Never frame missed logging or food choices as moral failure.</w:t>
      </w:r>
    </w:p>
    <w:p>
      <w:pPr>
        <w:pStyle w:val="ListBullet"/>
      </w:pPr>
      <w:r>
        <w:t>Before launch, build an evidence review and data-quality plan for food database sources, serving sizes, nutrient estimates and update processes.</w:t>
      </w:r>
    </w:p>
    <w:p>
      <w:pPr>
        <w:pStyle w:val="Heading2"/>
      </w:pPr>
      <w:r>
        <w:t>Money Manager</w:t>
      </w:r>
    </w:p>
    <w:p>
      <w:pPr>
        <w:pStyle w:val="ListBullet"/>
      </w:pPr>
      <w:r>
        <w:t>Start with a cash-flow snapshot: income timing, essential expenses, bills and obligations. Allow estimates when exact figures are unavailable.</w:t>
      </w:r>
    </w:p>
    <w:p>
      <w:pPr>
        <w:pStyle w:val="ListBullet"/>
      </w:pPr>
      <w:r>
        <w:t>Teach concepts as they become relevant: needs vs. wants, bill timing, emergency savings, interest, debt repayment and compounding.</w:t>
      </w:r>
    </w:p>
    <w:p>
      <w:pPr>
        <w:pStyle w:val="ListBullet"/>
      </w:pPr>
      <w:r>
        <w:t>Make projections show assumptions, ranges and limitations; never present investment returns or debt outcomes as guaranteed.</w:t>
      </w:r>
    </w:p>
    <w:p>
      <w:pPr>
        <w:pStyle w:val="ListBullet"/>
      </w:pPr>
      <w:r>
        <w:t>Use vetted financial-data providers if account connections are added. Do not collect or store bank passwords directly.</w:t>
      </w:r>
    </w:p>
    <w:p>
      <w:pPr>
        <w:pStyle w:val="Heading1"/>
      </w:pPr>
      <w:r>
        <w:t>4. Evidence and confidence labels</w:t>
      </w:r>
    </w:p>
    <w:p>
      <w:pPr>
        <w:pStyle w:val="ListBullet"/>
      </w:pPr>
      <w:r>
        <w:t>Established guidance: supported by a recognized public-health body, regulator, or strong consensus source. Cite the source and date.</w:t>
      </w:r>
    </w:p>
    <w:p>
      <w:pPr>
        <w:pStyle w:val="ListBullet"/>
      </w:pPr>
      <w:r>
        <w:t>Research-informed suggestion: supported by research but requiring adaptation to individual context. Explain the main uncertainty.</w:t>
      </w:r>
    </w:p>
    <w:p>
      <w:pPr>
        <w:pStyle w:val="ListBullet"/>
      </w:pPr>
      <w:r>
        <w:t>Planning estimate: generated from user inputs and explicit assumptions. Show assumptions and let users change them.</w:t>
      </w:r>
    </w:p>
    <w:p>
      <w:pPr>
        <w:pStyle w:val="ListBullet"/>
      </w:pPr>
      <w:r>
        <w:t>Product hypothesis: not yet validated. Label it as a test, measure user response, and do not describe it as proven.</w:t>
      </w:r>
    </w:p>
    <w:p>
      <w:pPr>
        <w:pStyle w:val="ListBullet"/>
      </w:pPr>
      <w:r>
        <w:t>Review sources before launch and on a defined cadence; record source URL, claim supported, population, date reviewed, owner and next review date.</w:t>
      </w:r>
    </w:p>
    <w:p>
      <w:pPr>
        <w:pStyle w:val="Heading1"/>
      </w:pPr>
      <w:r>
        <w:t>5. Interface requirements</w:t>
      </w:r>
    </w:p>
    <w:p>
      <w:pPr>
        <w:pStyle w:val="ListBullet"/>
      </w:pPr>
      <w:r>
        <w:t>Every progress path shows: current stage, long-term goal, near-term milestone, next action, reason, evidence/assumption label and a way to adjust.</w:t>
      </w:r>
    </w:p>
    <w:p>
      <w:pPr>
        <w:pStyle w:val="ListBullet"/>
      </w:pPr>
      <w:r>
        <w:t>Use simple visual progress indicators plus plain-language explanations; charts alone are not teaching.</w:t>
      </w:r>
    </w:p>
    <w:p>
      <w:pPr>
        <w:pStyle w:val="ListBullet"/>
      </w:pPr>
      <w:r>
        <w:t>Always provide a lower-effort alternative where reasonable, and an option to pause, rest, revise or restart.</w:t>
      </w:r>
    </w:p>
    <w:p>
      <w:pPr>
        <w:pStyle w:val="ListBullet"/>
      </w:pPr>
      <w:r>
        <w:t>Avoid shame, punitive streaks, misleading precision, endless notifications and engagement mechanics that reward activity over wellbeing.</w:t>
      </w:r>
    </w:p>
    <w:p>
      <w:pPr>
        <w:pStyle w:val="ListBullet"/>
      </w:pPr>
      <w:r>
        <w:t>Support accessible language, readable contrast, screen-reader semantics and mobile-first layouts.</w:t>
      </w:r>
    </w:p>
    <w:p>
      <w:pPr>
        <w:pStyle w:val="Heading1"/>
      </w:pPr>
      <w:r>
        <w:t>6. Minimum data model for a progress path</w:t>
      </w:r>
    </w:p>
    <w:p>
      <w:pPr>
        <w:pStyle w:val="ListBullet"/>
      </w:pPr>
      <w:r>
        <w:t>User goal: module, goal statement, desired outcome, priority and optional target date.</w:t>
      </w:r>
    </w:p>
    <w:p>
      <w:pPr>
        <w:pStyle w:val="ListBullet"/>
      </w:pPr>
      <w:r>
        <w:t>Baseline: current behavior/outcome, collection date, source and confidence.</w:t>
      </w:r>
    </w:p>
    <w:p>
      <w:pPr>
        <w:pStyle w:val="ListBullet"/>
      </w:pPr>
      <w:r>
        <w:t>Milestone: label, measurable criterion, expected effort, dependencies and status.</w:t>
      </w:r>
    </w:p>
    <w:p>
      <w:pPr>
        <w:pStyle w:val="ListBullet"/>
      </w:pPr>
      <w:r>
        <w:t>Recommendation: action, rationale, evidence label/source, assumptions, easier option and safety notes.</w:t>
      </w:r>
    </w:p>
    <w:p>
      <w:pPr>
        <w:pStyle w:val="ListBullet"/>
      </w:pPr>
      <w:r>
        <w:t>Check-in: what happened, perceived difficulty, barriers, outcome and user feedback.</w:t>
      </w:r>
    </w:p>
    <w:p>
      <w:pPr>
        <w:pStyle w:val="ListBullet"/>
      </w:pPr>
      <w:r>
        <w:t>Progress decision: repeat / reduce / hold / increase, reason, timestamp and ability for the user to override.</w:t>
      </w:r>
    </w:p>
    <w:p>
      <w:pPr>
        <w:pStyle w:val="Heading1"/>
      </w:pPr>
      <w:r>
        <w:t>7. MVP acceptance criteria</w:t>
      </w:r>
    </w:p>
    <w:p>
      <w:pPr>
        <w:pStyle w:val="ListNumber"/>
      </w:pPr>
      <w:r>
        <w:t>A first-time user can explain their current stage and identify one next action after a short onboarding.</w:t>
      </w:r>
    </w:p>
    <w:p>
      <w:pPr>
        <w:pStyle w:val="ListNumber"/>
      </w:pPr>
      <w:r>
        <w:t>Every recommended action includes a plain-language reason and clearly distinguishes evidence-based guidance from an estimate.</w:t>
      </w:r>
    </w:p>
    <w:p>
      <w:pPr>
        <w:pStyle w:val="ListNumber"/>
      </w:pPr>
      <w:r>
        <w:t>The plan responds to the user’s stated available time, equipment and experience.</w:t>
      </w:r>
    </w:p>
    <w:p>
      <w:pPr>
        <w:pStyle w:val="ListNumber"/>
      </w:pPr>
      <w:r>
        <w:t>The user can reduce difficulty, change preferences, pause or restart without penalty.</w:t>
      </w:r>
    </w:p>
    <w:p>
      <w:pPr>
        <w:pStyle w:val="ListNumber"/>
      </w:pPr>
      <w:r>
        <w:t>Progress is based on logged actions and check-ins; the app does not claim a milestone was achieved without supporting data.</w:t>
      </w:r>
    </w:p>
    <w:p>
      <w:pPr>
        <w:pStyle w:val="ListNumber"/>
      </w:pPr>
      <w:r>
        <w:t>No feature implies diagnosis, guaranteed outcomes or personalized clinical advice beyond the system’s capability.</w:t>
      </w:r>
    </w:p>
    <w:p>
      <w:pPr>
        <w:pStyle w:val="ListNumber"/>
      </w:pPr>
      <w:r>
        <w:t>The interface states when information is stored locally and provides a clear data deletion route.</w:t>
      </w:r>
    </w:p>
    <w:p>
      <w:pPr>
        <w:pStyle w:val="Heading1"/>
      </w:pPr>
      <w:r>
        <w:t>8. Prototype 0.2 status and known limitations</w:t>
      </w:r>
    </w:p>
    <w:p>
      <w:pPr>
        <w:pStyle w:val="ListBullet"/>
      </w:pPr>
      <w:r>
        <w:t>Added a “Your Path” screen to the clickable browser prototype with three stages, a current milestone, next action, teaching rationale and a WHO guidance link.</w:t>
      </w:r>
    </w:p>
    <w:p>
      <w:pPr>
        <w:pStyle w:val="ListBullet"/>
      </w:pPr>
      <w:r>
        <w:t>Stage advancement currently uses a simple session-count demonstration rule. This is not a validated progression algorithm and must be replaced by user feedback and safer module-specific rules.</w:t>
      </w:r>
    </w:p>
    <w:p>
      <w:pPr>
        <w:pStyle w:val="ListBullet"/>
      </w:pPr>
      <w:r>
        <w:t>The prototype stores data only in local browser storage and does not sync between devices. No accounts, production backend, adaptive AI, security review or app-store packaging exists yet.</w:t>
      </w:r>
    </w:p>
    <w:p>
      <w:pPr>
        <w:pStyle w:val="ListBullet"/>
      </w:pPr>
      <w:r>
        <w:t>The current screen is a concept demonstration; it does not establish that the approach improves outcomes. User testing is required.</w:t>
      </w:r>
    </w:p>
    <w:p>
      <w:pPr>
        <w:pStyle w:val="Heading1"/>
      </w:pPr>
      <w:r>
        <w:t>9. Immediate next work</w:t>
      </w:r>
    </w:p>
    <w:p>
      <w:pPr>
        <w:pStyle w:val="ListNumber"/>
      </w:pPr>
      <w:r>
        <w:t>Review and test the prototype’s path screen on mobile and desktop; check navigation, persistence and accessibility.</w:t>
      </w:r>
    </w:p>
    <w:p>
      <w:pPr>
        <w:pStyle w:val="ListNumber"/>
      </w:pPr>
      <w:r>
        <w:t>Complete an evidence-backed competitor audit and capture representative user problems before locking the MVP.</w:t>
      </w:r>
    </w:p>
    <w:p>
      <w:pPr>
        <w:pStyle w:val="ListNumber"/>
      </w:pPr>
      <w:r>
        <w:t>Draft a small interview script and conduct 8–12 problem interviews; do not pitch the solution before learning current behavior.</w:t>
      </w:r>
    </w:p>
    <w:p>
      <w:pPr>
        <w:pStyle w:val="ListNumber"/>
      </w:pPr>
      <w:r>
        <w:t>Revise the Fitness Builder MVP and progression rules based on evidence.</w:t>
      </w:r>
    </w:p>
    <w:p>
      <w:pPr>
        <w:pStyle w:val="ListNumber"/>
      </w:pPr>
      <w:r>
        <w:t>Build a clickable prototype test plan and run usability sessions; only then select the production platform and architecture.</w:t>
      </w:r>
    </w:p>
    <w:p>
      <w:pPr>
        <w:pStyle w:val="Heading1"/>
      </w:pPr>
      <w:r>
        <w:t>10. Sources to begin the fitness evidence register</w:t>
      </w:r>
    </w:p>
    <w:p>
      <w:pPr>
        <w:pStyle w:val="ListBullet"/>
      </w:pPr>
      <w:r>
        <w:rPr>
          <w:b/>
        </w:rPr>
        <w:t xml:space="preserve">World Health Organization — Guidelines on physical activity and sedentary behaviour — </w:t>
      </w:r>
      <w:r>
        <w:t>https://www.who.int/publications/i/item/9789240015128</w:t>
      </w:r>
    </w:p>
    <w:p>
      <w:pPr>
        <w:pStyle w:val="ListBullet"/>
      </w:pPr>
      <w:r>
        <w:rPr>
          <w:b/>
        </w:rPr>
        <w:t xml:space="preserve">WHO — Physical activity recommendations at a glance — </w:t>
      </w:r>
      <w:r>
        <w:t>https://www.who.int/europe/publications/i/item/9789240014886</w:t>
      </w:r>
    </w:p>
    <w:p>
      <w:pPr>
        <w:pStyle w:val="ListBullet"/>
      </w:pPr>
      <w:r>
        <w:rPr>
          <w:b/>
        </w:rPr>
        <w:t xml:space="preserve">Government of Canada — Being physically active for your health — </w:t>
      </w:r>
      <w:r>
        <w:t>https://www.canada.ca/en/public-health/services/being-active/physical-activity-your-health.html</w:t>
      </w:r>
    </w:p>
    <w:p>
      <w:pPr>
        <w:pStyle w:val="ListBullet"/>
      </w:pPr>
      <w:r>
        <w:rPr>
          <w:b/>
        </w:rPr>
        <w:t xml:space="preserve">Office of the Privacy Commissioner of Canada — Mobile apps — </w:t>
      </w:r>
      <w:r>
        <w:t>https://www.priv.gc.ca/en/privacy-topics/technology/mobile-and-digital-devices/mobile-apps/</w:t>
      </w:r>
    </w:p>
    <w:p>
      <w:pPr>
        <w:pStyle w:val="ListBullet"/>
      </w:pPr>
      <w:r>
        <w:rPr>
          <w:b/>
        </w:rPr>
        <w:t xml:space="preserve">Office of the Privacy Commissioner of Canada — PIPEDA fair information principles — </w:t>
      </w:r>
      <w:r>
        <w:t>https://www.priv.gc.ca/en/privacy-topics/privacy-laws-in-canada/the-personal-information-protection-and-electronic-documents-act-pipeda/p_principle/</w:t>
      </w:r>
    </w:p>
    <w:p>
      <w:r>
        <w:t>This is a product planning document, not medical, nutrition, investment or legal advice. Guidance and product behavior must be reviewed by qualified specialists where appropriate before public launch.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8694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8694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