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34AA" w14:textId="77777777" w:rsidR="007F17E1" w:rsidRDefault="00000000">
      <w:pPr>
        <w:spacing w:after="120"/>
        <w:jc w:val="center"/>
      </w:pPr>
      <w:r>
        <w:rPr>
          <w:rFonts w:ascii="Calibri" w:hAnsi="Calibri"/>
          <w:b/>
          <w:color w:val="EF0F54"/>
          <w:sz w:val="20"/>
        </w:rPr>
        <w:t>THE TAPA CO.  |  DHARMIC CONCEPTS  |  ARTICLE TEMPLATE</w:t>
      </w:r>
    </w:p>
    <w:p w14:paraId="63DE2071" w14:textId="77777777" w:rsidR="007F17E1" w:rsidRDefault="00000000">
      <w:pPr>
        <w:spacing w:after="120"/>
        <w:jc w:val="center"/>
      </w:pPr>
      <w:r>
        <w:rPr>
          <w:rFonts w:ascii="Calibri" w:hAnsi="Calibri"/>
          <w:b/>
          <w:color w:val="4A3525"/>
          <w:sz w:val="32"/>
        </w:rPr>
        <w:t>Template Reference — DHARMIC CONCEPTS</w:t>
      </w:r>
    </w:p>
    <w:p w14:paraId="5B8F8237" w14:textId="77777777" w:rsidR="007F17E1" w:rsidRDefault="00000000">
      <w:pPr>
        <w:spacing w:after="120"/>
        <w:jc w:val="center"/>
      </w:pPr>
      <w:r>
        <w:rPr>
          <w:rFonts w:ascii="Calibri" w:hAnsi="Calibri"/>
          <w:i/>
          <w:color w:val="6B7280"/>
          <w:sz w:val="18"/>
        </w:rPr>
        <w:t>Use this as the structural reference for every article in this category</w:t>
      </w:r>
    </w:p>
    <w:p w14:paraId="2B8358CA" w14:textId="77777777" w:rsidR="007F17E1" w:rsidRDefault="007F17E1">
      <w:pPr>
        <w:spacing w:after="120"/>
      </w:pPr>
    </w:p>
    <w:p w14:paraId="68F20AEE" w14:textId="77777777" w:rsidR="007F17E1" w:rsidRDefault="00000000"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289A4C97" w14:textId="77777777" w:rsidR="007F17E1" w:rsidRDefault="00000000">
      <w:pPr>
        <w:spacing w:after="120"/>
      </w:pPr>
      <w:r>
        <w:rPr>
          <w:rFonts w:ascii="Calibri" w:hAnsi="Calibri"/>
          <w:b/>
          <w:color w:val="EF0F54"/>
        </w:rPr>
        <w:t>THE COMMON FLOW (shared across all categories)</w:t>
      </w:r>
    </w:p>
    <w:p w14:paraId="4279078F" w14:textId="77777777" w:rsidR="007F17E1" w:rsidRDefault="00000000">
      <w:pPr>
        <w:spacing w:after="120"/>
      </w:pPr>
      <w:r>
        <w:rPr>
          <w:rFonts w:ascii="Calibri" w:hAnsi="Calibri"/>
          <w:b/>
          <w:color w:val="A07800"/>
          <w:sz w:val="18"/>
        </w:rPr>
        <w:t>① Cover → ② How to Use → ③ Part A Backend → ④ Part B Article → ⑤ Ritual Card (Ritual Guides only)</w:t>
      </w:r>
    </w:p>
    <w:p w14:paraId="3823D676" w14:textId="77777777" w:rsidR="007F17E1" w:rsidRDefault="00000000">
      <w:pPr>
        <w:spacing w:after="120"/>
      </w:pPr>
      <w:r>
        <w:rPr>
          <w:rFonts w:ascii="Calibri" w:hAnsi="Calibri"/>
          <w:b/>
          <w:color w:val="EF0F54"/>
          <w:sz w:val="18"/>
        </w:rPr>
        <w:t>NON-NEGOTIABLES in every article:</w:t>
      </w:r>
    </w:p>
    <w:p w14:paraId="51E73AB8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★ DPB visible — Dharma and Pratha explicitly separated, Bhranti corrected</w:t>
      </w:r>
    </w:p>
    <w:p w14:paraId="2EC4741F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★ Myths &amp; Facts section with Bhranti corrections — brand moat, never skip</w:t>
      </w:r>
    </w:p>
    <w:p w14:paraId="41A7837B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★ Clear Dharma vs Pratha separation — visibly bifurcated, never mixed</w:t>
      </w:r>
    </w:p>
    <w:p w14:paraId="526BE4B1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★ At least 1 image brief inline at exact position</w:t>
      </w:r>
    </w:p>
    <w:p w14:paraId="1031406E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★ Source cited with classification</w:t>
      </w:r>
    </w:p>
    <w:p w14:paraId="4C81858A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★ Closing prose that completes the arc</w:t>
      </w:r>
    </w:p>
    <w:p w14:paraId="1FECE736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★ Related links connecting to the knowledge web</w:t>
      </w:r>
    </w:p>
    <w:p w14:paraId="5E6EC18E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★ No commerce above the fold</w:t>
      </w:r>
    </w:p>
    <w:p w14:paraId="5A04549A" w14:textId="77777777" w:rsidR="007F17E1" w:rsidRDefault="00000000"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32E86FC" w14:textId="77777777" w:rsidR="007F17E1" w:rsidRDefault="00000000">
      <w:pPr>
        <w:spacing w:after="160"/>
      </w:pPr>
      <w:r>
        <w:rPr>
          <w:rFonts w:ascii="Calibri" w:hAnsi="Calibri"/>
          <w:b/>
          <w:color w:val="4A3525"/>
          <w:sz w:val="28"/>
        </w:rPr>
        <w:t>TEMPLATE STRUCTURE — DHARMIC CONCEPTS</w:t>
      </w:r>
    </w:p>
    <w:p w14:paraId="5AFD7917" w14:textId="77777777" w:rsidR="007F17E1" w:rsidRDefault="007F17E1">
      <w:pPr>
        <w:spacing w:after="120"/>
      </w:pPr>
    </w:p>
    <w:p w14:paraId="491B57D3" w14:textId="77777777" w:rsidR="007F17E1" w:rsidRDefault="00000000">
      <w:pPr>
        <w:spacing w:after="120"/>
      </w:pPr>
      <w:r>
        <w:rPr>
          <w:rFonts w:ascii="Calibri" w:hAnsi="Calibri"/>
          <w:b/>
          <w:color w:val="EF0F54"/>
        </w:rPr>
        <w:t>COVER</w:t>
      </w:r>
    </w:p>
    <w:p w14:paraId="390505C8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● Category Line (paragraph)</w:t>
      </w:r>
    </w:p>
    <w:p w14:paraId="10BB921D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THE TAPA CO.  |  DHARMIC CONCEPTS</w:t>
      </w:r>
    </w:p>
    <w:p w14:paraId="06E12ED1" w14:textId="77777777" w:rsidR="007F17E1" w:rsidRDefault="007F17E1">
      <w:pPr>
        <w:spacing w:after="120"/>
      </w:pPr>
    </w:p>
    <w:p w14:paraId="07CDB7F5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● Title (paragraph)</w:t>
      </w:r>
    </w:p>
    <w:p w14:paraId="7A16F609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[Question format — 'Why is X sacred to Y?' or 'What is Z?']</w:t>
      </w:r>
    </w:p>
    <w:p w14:paraId="5DE9B4C6" w14:textId="77777777" w:rsidR="007F17E1" w:rsidRDefault="007F17E1">
      <w:pPr>
        <w:spacing w:after="120"/>
      </w:pPr>
    </w:p>
    <w:p w14:paraId="69C8F35B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◆ Subtitle (paragraph)  [DHARMIC CONCEPTS–specific]</w:t>
      </w:r>
    </w:p>
    <w:p w14:paraId="5D2CEBAF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One line — the emotional/practical hook</w:t>
      </w:r>
    </w:p>
    <w:p w14:paraId="1F5A7B8F" w14:textId="77777777" w:rsidR="007F17E1" w:rsidRDefault="007F17E1">
      <w:pPr>
        <w:spacing w:after="120"/>
      </w:pPr>
    </w:p>
    <w:p w14:paraId="6D42CE66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● Stage + Classification (paragraph)</w:t>
      </w:r>
    </w:p>
    <w:p w14:paraId="36F51AC3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Evergreen  |  DHARMA [score]  |  No ritual card — concept piece</w:t>
      </w:r>
    </w:p>
    <w:p w14:paraId="7410807B" w14:textId="77777777" w:rsidR="007F17E1" w:rsidRDefault="007F17E1">
      <w:pPr>
        <w:spacing w:after="120"/>
      </w:pPr>
    </w:p>
    <w:p w14:paraId="381DE020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◆ Editorial Directive (paragraph)  [DHARMIC CONCEPTS–specific]</w:t>
      </w:r>
    </w:p>
    <w:p w14:paraId="6D2C059D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Write like an elder answering a grandchild's question. Story first, not citation.</w:t>
      </w:r>
    </w:p>
    <w:p w14:paraId="4CE037A5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Name the template arc: story → object → source → practice → web → reframe</w:t>
      </w:r>
    </w:p>
    <w:p w14:paraId="50C38617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State explicitly: No Panchang Card. No vidhi. No fasting note. No ritual card.</w:t>
      </w:r>
    </w:p>
    <w:p w14:paraId="77FBEF54" w14:textId="77777777" w:rsidR="007F17E1" w:rsidRDefault="007F17E1">
      <w:pPr>
        <w:spacing w:after="120"/>
      </w:pPr>
    </w:p>
    <w:p w14:paraId="17195497" w14:textId="77777777" w:rsidR="007F17E1" w:rsidRDefault="00000000">
      <w:r>
        <w:br w:type="page"/>
      </w:r>
    </w:p>
    <w:p w14:paraId="41CEEE10" w14:textId="77777777" w:rsidR="007F17E1" w:rsidRDefault="00000000">
      <w:pPr>
        <w:spacing w:after="120"/>
      </w:pPr>
      <w:r>
        <w:rPr>
          <w:rFonts w:ascii="Calibri" w:hAnsi="Calibri"/>
          <w:b/>
          <w:color w:val="EF0F54"/>
        </w:rPr>
        <w:lastRenderedPageBreak/>
        <w:t>PART A — BACKEND (paragraph headings, not table banners)</w:t>
      </w:r>
    </w:p>
    <w:p w14:paraId="3A8FA10C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◆ A1. Source &amp; Classification (paragraphs)  [DHARMIC CONCEPTS–specific]</w:t>
      </w:r>
    </w:p>
    <w:p w14:paraId="33221CE8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Primary Source: [text, chapter]</w:t>
      </w:r>
    </w:p>
    <w:p w14:paraId="3EBBB810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Classification: DHARMA [score] with justification</w:t>
      </w:r>
    </w:p>
    <w:p w14:paraId="4291181A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Tag / Score: [overall assessment]</w:t>
      </w:r>
    </w:p>
    <w:p w14:paraId="53567290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NO tagging log table — Dharmic Concepts uses prose, not per-element tagging</w:t>
      </w:r>
    </w:p>
    <w:p w14:paraId="3675E557" w14:textId="77777777" w:rsidR="007F17E1" w:rsidRDefault="007F17E1">
      <w:pPr>
        <w:spacing w:after="120"/>
      </w:pPr>
    </w:p>
    <w:p w14:paraId="63EC0B14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● A2. Stage 2 Checklist (numbered paragraphs)</w:t>
      </w:r>
    </w:p>
    <w:p w14:paraId="7171DB40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Source verification, cross-link check, practitioner review</w:t>
      </w:r>
    </w:p>
    <w:p w14:paraId="37F5100D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Numbered paragraphs, not a table</w:t>
      </w:r>
    </w:p>
    <w:p w14:paraId="4F75887B" w14:textId="77777777" w:rsidR="007F17E1" w:rsidRDefault="007F17E1">
      <w:pPr>
        <w:spacing w:after="120"/>
      </w:pPr>
    </w:p>
    <w:p w14:paraId="3B7BEF3D" w14:textId="2FD7FB62" w:rsidR="007F17E1" w:rsidRDefault="00000000" w:rsidP="00BA2201">
      <w:r>
        <w:rPr>
          <w:rFonts w:ascii="Calibri" w:hAnsi="Calibri"/>
          <w:b/>
          <w:color w:val="EF0F54"/>
        </w:rPr>
        <w:t>PART B — ARTICLE (paragraph heading, not table banner)</w:t>
      </w:r>
    </w:p>
    <w:p w14:paraId="1C95D426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● Credibility Card (paragraph)</w:t>
      </w:r>
    </w:p>
    <w:p w14:paraId="3AF8793E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Full Credibility Card with stars and score — NOT the Panchang Source Strip</w:t>
      </w:r>
    </w:p>
    <w:p w14:paraId="69500548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[Primary Source: ... | ★★★★☆ score | description]</w:t>
      </w:r>
    </w:p>
    <w:p w14:paraId="3DE7791E" w14:textId="77777777" w:rsidR="007F17E1" w:rsidRDefault="007F17E1">
      <w:pPr>
        <w:spacing w:after="120"/>
      </w:pPr>
    </w:p>
    <w:p w14:paraId="741E4531" w14:textId="77777777" w:rsidR="007F17E1" w:rsidRDefault="00000000">
      <w:pPr>
        <w:spacing w:after="80"/>
      </w:pPr>
      <w:r>
        <w:rPr>
          <w:rFonts w:ascii="Calibri" w:hAnsi="Calibri"/>
          <w:b/>
          <w:color w:val="6B7280"/>
          <w:sz w:val="18"/>
        </w:rPr>
        <w:t>✗  Panchang Card  —  NOT IN THIS CATEGORY</w:t>
      </w:r>
    </w:p>
    <w:p w14:paraId="48516C13" w14:textId="77777777" w:rsidR="007F17E1" w:rsidRDefault="00000000">
      <w:pPr>
        <w:spacing w:after="80"/>
      </w:pPr>
      <w:r>
        <w:rPr>
          <w:rFonts w:ascii="Calibri" w:hAnsi="Calibri"/>
          <w:i/>
          <w:color w:val="6B7280"/>
          <w:sz w:val="16"/>
        </w:rPr>
        <w:t>↳ Dharmic Concepts are not date-specific. No Panchang Card.</w:t>
      </w:r>
    </w:p>
    <w:p w14:paraId="76ABF7BB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◆ Section Nav Chips — custom 4 slots (paragraph)  [DHARMIC CONCEPTS–specific]</w:t>
      </w:r>
    </w:p>
    <w:p w14:paraId="3E4BB12D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Custom per article type. Material concepts: 📖 The story | 🌿 The object | 🙏 How to use | 🔗 Connected</w:t>
      </w:r>
    </w:p>
    <w:p w14:paraId="78D8E8EE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Practice concepts: different slots. No fixed 6-slot format.</w:t>
      </w:r>
    </w:p>
    <w:p w14:paraId="346CEDA5" w14:textId="77777777" w:rsidR="007F17E1" w:rsidRDefault="007F17E1">
      <w:pPr>
        <w:spacing w:after="120"/>
      </w:pPr>
    </w:p>
    <w:p w14:paraId="51E59E18" w14:textId="77777777" w:rsidR="007F17E1" w:rsidRDefault="00000000">
      <w:pPr>
        <w:spacing w:after="120"/>
      </w:pPr>
      <w:r>
        <w:rPr>
          <w:rFonts w:ascii="Calibri" w:hAnsi="Calibri"/>
          <w:b/>
          <w:color w:val="EF0F54"/>
        </w:rPr>
        <w:t>THE LEARNER'S ARC (Dharmic Concepts only)</w:t>
      </w:r>
    </w:p>
    <w:p w14:paraId="70EEDFAC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◆ ① THE STORY  [DHARMIC CONCEPTS–specific]</w:t>
      </w:r>
    </w:p>
    <w:p w14:paraId="1707CB57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Open with narrative, not citation. The elder's voice.</w:t>
      </w:r>
    </w:p>
    <w:p w14:paraId="211073D7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The founding story from the Purana — told as a story, source cited at the end.</w:t>
      </w:r>
    </w:p>
    <w:p w14:paraId="0F38D188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This is the doorway. The learner enters through narrative, not taxonomy.</w:t>
      </w:r>
    </w:p>
    <w:p w14:paraId="11CAFA64" w14:textId="77777777" w:rsidR="007F17E1" w:rsidRDefault="007F17E1">
      <w:pPr>
        <w:spacing w:after="120"/>
      </w:pPr>
    </w:p>
    <w:p w14:paraId="32F499B5" w14:textId="77777777" w:rsidR="007F17E1" w:rsidRDefault="00000000">
      <w:pPr>
        <w:spacing w:after="80"/>
      </w:pPr>
      <w:r>
        <w:rPr>
          <w:rFonts w:ascii="Calibri" w:hAnsi="Calibri"/>
          <w:b/>
          <w:color w:val="EF0F54"/>
          <w:sz w:val="18"/>
        </w:rPr>
        <w:t>★  IMAGE 1 — inline after story, before 'the object'</w:t>
      </w:r>
    </w:p>
    <w:p w14:paraId="6CB98440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PARAGRAPH-formatted brief</w:t>
      </w:r>
    </w:p>
    <w:p w14:paraId="241380BD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AI-GENERATED safe for botanical/atmospheric. LICENSED for deity iconography.</w:t>
      </w:r>
    </w:p>
    <w:p w14:paraId="1B3EA54F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The learner needs to SEE the object (the leaf, the grass, the thread)</w:t>
      </w:r>
    </w:p>
    <w:p w14:paraId="4D588896" w14:textId="77777777" w:rsidR="007F17E1" w:rsidRDefault="007F17E1">
      <w:pPr>
        <w:spacing w:after="120"/>
      </w:pPr>
    </w:p>
    <w:p w14:paraId="587CC7DE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◆ ② THE OBJECT ITSELF  [DHARMIC CONCEPTS–specific]</w:t>
      </w:r>
    </w:p>
    <w:p w14:paraId="460C86A2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Physical description. What makes it distinctive.</w:t>
      </w:r>
    </w:p>
    <w:p w14:paraId="6995DFC6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The verse or hymn that maps the object to the deity (if one exists)</w:t>
      </w:r>
    </w:p>
    <w:p w14:paraId="35B6907D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Devanagari + transliteration + translation</w:t>
      </w:r>
    </w:p>
    <w:p w14:paraId="37D1D1EB" w14:textId="77777777" w:rsidR="007F17E1" w:rsidRDefault="007F17E1">
      <w:pPr>
        <w:spacing w:after="120"/>
      </w:pPr>
    </w:p>
    <w:p w14:paraId="076EFB4B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◆ ③ WHERE THE TRADITION RECORDS THIS  [DHARMIC CONCEPTS–specific]</w:t>
      </w:r>
    </w:p>
    <w:p w14:paraId="47AB1455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lastRenderedPageBreak/>
        <w:t xml:space="preserve">    Brief — 4-5 bullet points naming the texts</w:t>
      </w:r>
    </w:p>
    <w:p w14:paraId="0937E18A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Not academic. Just enough to show deep textual roots.</w:t>
      </w:r>
    </w:p>
    <w:p w14:paraId="3FD42ABF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Vedic → Puranic → Stotric layers if applicable</w:t>
      </w:r>
    </w:p>
    <w:p w14:paraId="4978C365" w14:textId="77777777" w:rsidR="007F17E1" w:rsidRDefault="007F17E1">
      <w:pPr>
        <w:spacing w:after="120"/>
      </w:pPr>
    </w:p>
    <w:p w14:paraId="38ECC3A5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◆ ④ THE PRACTICE — How to Use/Offer  [DHARMIC CONCEPTS–specific]</w:t>
      </w:r>
    </w:p>
    <w:p w14:paraId="6E1A757E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Practical knowledge. Q&amp;A format works well.</w:t>
      </w:r>
    </w:p>
    <w:p w14:paraId="081A59D7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The small things nobody tells you — which side up, fresh vs dried, how many, can you reuse</w:t>
      </w:r>
    </w:p>
    <w:p w14:paraId="75F53258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Tag each practice element: [Dharma] or [Pratha]</w:t>
      </w:r>
    </w:p>
    <w:p w14:paraId="5A993E5F" w14:textId="77777777" w:rsidR="007F17E1" w:rsidRDefault="007F17E1">
      <w:pPr>
        <w:spacing w:after="120"/>
      </w:pPr>
    </w:p>
    <w:p w14:paraId="43FAABA3" w14:textId="77777777" w:rsidR="007F17E1" w:rsidRDefault="00000000">
      <w:pPr>
        <w:spacing w:after="80"/>
      </w:pPr>
      <w:r>
        <w:rPr>
          <w:rFonts w:ascii="Calibri" w:hAnsi="Calibri"/>
          <w:b/>
          <w:color w:val="EF0F54"/>
          <w:sz w:val="18"/>
        </w:rPr>
        <w:t>★  DHARMA vs PRATHA — explicit separation in the Practice section</w:t>
      </w:r>
    </w:p>
    <w:p w14:paraId="02975FFD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What comes from a named text = DHARMA</w:t>
      </w:r>
    </w:p>
    <w:p w14:paraId="044A233D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What comes from widespread practice without a named text = PRATHA</w:t>
      </w:r>
    </w:p>
    <w:p w14:paraId="2B3682BA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Must be visibly tagged, not mixed. The learner should know which is which.</w:t>
      </w:r>
    </w:p>
    <w:p w14:paraId="6541E072" w14:textId="77777777" w:rsidR="007F17E1" w:rsidRDefault="007F17E1">
      <w:pPr>
        <w:spacing w:after="120"/>
      </w:pPr>
    </w:p>
    <w:p w14:paraId="2B4C6788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◆ ⑤ THE WEB — What Connects to What  [DHARMIC CONCEPTS–specific]</w:t>
      </w:r>
    </w:p>
    <w:p w14:paraId="2D2C9863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If X is Y's sacred object, what are the equivalents for other deities?</w:t>
      </w:r>
    </w:p>
    <w:p w14:paraId="22DEC87C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What should you NOT offer? (the negative list — always has a story)</w:t>
      </w:r>
    </w:p>
    <w:p w14:paraId="57BE1191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Each connection is a doorway to another article</w:t>
      </w:r>
    </w:p>
    <w:p w14:paraId="31B4BD52" w14:textId="77777777" w:rsidR="007F17E1" w:rsidRDefault="007F17E1">
      <w:pPr>
        <w:spacing w:after="120"/>
      </w:pPr>
    </w:p>
    <w:p w14:paraId="7DCFBDDD" w14:textId="77777777" w:rsidR="007F17E1" w:rsidRDefault="00000000">
      <w:pPr>
        <w:spacing w:after="80"/>
      </w:pPr>
      <w:r>
        <w:rPr>
          <w:rFonts w:ascii="Calibri" w:hAnsi="Calibri"/>
          <w:b/>
          <w:color w:val="EF0F54"/>
          <w:sz w:val="18"/>
        </w:rPr>
        <w:t>★  Myths &amp; Facts — Bhranti corrections (1-2 items)</w:t>
      </w:r>
    </w:p>
    <w:p w14:paraId="25B3C7A4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Paragraph format (not pink-header tables — Dharmic Concepts has no tables)</w:t>
      </w:r>
    </w:p>
    <w:p w14:paraId="7CFE97E5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✕ misconception → ✓ correction with source</w:t>
      </w:r>
    </w:p>
    <w:p w14:paraId="4E162AAB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Examples: 'Only Brahmins can offer Bilva', 'Artificial bel patra works the same'</w:t>
      </w:r>
    </w:p>
    <w:p w14:paraId="436FD356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NEVER skip this. DPB is the brand moat across ALL categories.</w:t>
      </w:r>
    </w:p>
    <w:p w14:paraId="340B75B1" w14:textId="77777777" w:rsidR="007F17E1" w:rsidRDefault="007F17E1">
      <w:pPr>
        <w:spacing w:after="120"/>
      </w:pPr>
    </w:p>
    <w:p w14:paraId="36AECCE9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◆ ⑥ THE REFRAME — Closing  [DHARMIC CONCEPTS–specific]</w:t>
      </w:r>
    </w:p>
    <w:p w14:paraId="6AF7D6AA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One paragraph. Changes how the learner sees the object next time they hold it.</w:t>
      </w:r>
    </w:p>
    <w:p w14:paraId="40F337A9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This is the paragraph that makes the article worth reading.</w:t>
      </w:r>
    </w:p>
    <w:p w14:paraId="4DAB2AA1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Not a summary — a shift in perception.</w:t>
      </w:r>
    </w:p>
    <w:p w14:paraId="3A8F5355" w14:textId="77777777" w:rsidR="007F17E1" w:rsidRDefault="007F17E1">
      <w:pPr>
        <w:spacing w:after="120"/>
      </w:pPr>
    </w:p>
    <w:p w14:paraId="277CAC7C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● Related (paragraph links)</w:t>
      </w:r>
    </w:p>
    <w:p w14:paraId="74F1EB42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Cross-links to every article where this concept appears</w:t>
      </w:r>
    </w:p>
    <w:p w14:paraId="7FDB377D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Note: this article renders as a collapsible card at the bottom of those articles (Option A) AND as a standalone page (Option B)</w:t>
      </w:r>
    </w:p>
    <w:p w14:paraId="17ECA1A3" w14:textId="77777777" w:rsidR="007F17E1" w:rsidRDefault="007F17E1">
      <w:pPr>
        <w:spacing w:after="120"/>
      </w:pPr>
    </w:p>
    <w:p w14:paraId="6C019AFE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● WA Nudge (paragraph)</w:t>
      </w:r>
    </w:p>
    <w:p w14:paraId="14A3E5A2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Generic copy.</w:t>
      </w:r>
    </w:p>
    <w:p w14:paraId="6EAD25C8" w14:textId="77777777" w:rsidR="007F17E1" w:rsidRDefault="007F17E1">
      <w:pPr>
        <w:spacing w:after="120"/>
      </w:pPr>
    </w:p>
    <w:p w14:paraId="038F50C3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◆ Sticky Bar  [DHARMIC CONCEPTS–specific]</w:t>
      </w:r>
    </w:p>
    <w:p w14:paraId="2C19F9EB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Download only (if a downloadable summary exists) or absent</w:t>
      </w:r>
    </w:p>
    <w:p w14:paraId="7B95853C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NO kit CTA. NO pandit CTA. Knowledge only.</w:t>
      </w:r>
    </w:p>
    <w:p w14:paraId="322538F9" w14:textId="77777777" w:rsidR="007F17E1" w:rsidRDefault="007F17E1">
      <w:pPr>
        <w:spacing w:after="120"/>
      </w:pPr>
    </w:p>
    <w:p w14:paraId="59076AC4" w14:textId="77777777" w:rsidR="007F17E1" w:rsidRDefault="00000000">
      <w:pPr>
        <w:spacing w:after="80"/>
      </w:pPr>
      <w:r>
        <w:rPr>
          <w:rFonts w:ascii="Calibri" w:hAnsi="Calibri"/>
          <w:b/>
          <w:color w:val="6B7280"/>
          <w:sz w:val="18"/>
        </w:rPr>
        <w:t>✗  Ritual Card  —  NOT IN THIS CATEGORY</w:t>
      </w:r>
    </w:p>
    <w:p w14:paraId="0C97D7E5" w14:textId="77777777" w:rsidR="007F17E1" w:rsidRDefault="00000000">
      <w:pPr>
        <w:spacing w:after="80"/>
      </w:pPr>
      <w:r>
        <w:rPr>
          <w:rFonts w:ascii="Calibri" w:hAnsi="Calibri"/>
          <w:i/>
          <w:color w:val="6B7280"/>
          <w:sz w:val="16"/>
        </w:rPr>
        <w:t>↳ Dharmic Concepts do not generate ritual cards.</w:t>
      </w:r>
    </w:p>
    <w:p w14:paraId="384214E1" w14:textId="77777777" w:rsidR="007F17E1" w:rsidRDefault="00000000">
      <w:pPr>
        <w:spacing w:after="80"/>
      </w:pPr>
      <w:r>
        <w:rPr>
          <w:rFonts w:ascii="Calibri" w:hAnsi="Calibri"/>
          <w:b/>
          <w:color w:val="6B7280"/>
          <w:sz w:val="18"/>
        </w:rPr>
        <w:t>✗  Samagri / Vidhi / Fasting  —  NOT IN THIS CATEGORY</w:t>
      </w:r>
    </w:p>
    <w:p w14:paraId="5A27C76A" w14:textId="77777777" w:rsidR="007F17E1" w:rsidRDefault="00000000">
      <w:pPr>
        <w:spacing w:after="80"/>
      </w:pPr>
      <w:r>
        <w:rPr>
          <w:rFonts w:ascii="Calibri" w:hAnsi="Calibri"/>
          <w:i/>
          <w:color w:val="6B7280"/>
          <w:sz w:val="16"/>
        </w:rPr>
        <w:t>↳ These belong to Ritual Guides. Dharmic Concepts explains the WHY, not the HOW.</w:t>
      </w:r>
    </w:p>
    <w:p w14:paraId="431A18E1" w14:textId="77777777" w:rsidR="007F17E1" w:rsidRDefault="00000000">
      <w:pPr>
        <w:spacing w:after="80"/>
      </w:pPr>
      <w:r>
        <w:rPr>
          <w:rFonts w:ascii="Calibri" w:hAnsi="Calibri"/>
          <w:b/>
          <w:color w:val="6B7280"/>
          <w:sz w:val="18"/>
        </w:rPr>
        <w:t>✗  Intelligence Layer at bottom  —  NOT IN THIS CATEGORY</w:t>
      </w:r>
    </w:p>
    <w:p w14:paraId="5B3954BE" w14:textId="77777777" w:rsidR="007F17E1" w:rsidRDefault="00000000">
      <w:pPr>
        <w:spacing w:after="80"/>
      </w:pPr>
      <w:r>
        <w:rPr>
          <w:rFonts w:ascii="Calibri" w:hAnsi="Calibri"/>
          <w:i/>
          <w:color w:val="6B7280"/>
          <w:sz w:val="16"/>
        </w:rPr>
        <w:t>↳ The article IS the intelligence layer. It renders as a collapsible card inside other articles.</w:t>
      </w:r>
    </w:p>
    <w:p w14:paraId="4174D12B" w14:textId="77777777" w:rsidR="007F17E1" w:rsidRDefault="00000000">
      <w:r>
        <w:br w:type="page"/>
      </w:r>
    </w:p>
    <w:p w14:paraId="398937C9" w14:textId="77777777" w:rsidR="007F17E1" w:rsidRDefault="00000000">
      <w:pPr>
        <w:spacing w:after="120"/>
      </w:pPr>
      <w:r>
        <w:rPr>
          <w:rFonts w:ascii="Calibri" w:hAnsi="Calibri"/>
          <w:b/>
          <w:color w:val="EF0F54"/>
        </w:rPr>
        <w:lastRenderedPageBreak/>
        <w:t>DHARMIC CONCEPTS — ARTICLE TYPES</w:t>
      </w:r>
    </w:p>
    <w:p w14:paraId="602DF9B4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◆ Material Concepts (Why is X sacred to Y?)  [DHARMIC CONCEPTS–specific]</w:t>
      </w:r>
    </w:p>
    <w:p w14:paraId="5ED14681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Bilva → Shiva, Tulsi → Vishnu, Durva → Ganesha, Kumkum, Gangajal</w:t>
      </w:r>
    </w:p>
    <w:p w14:paraId="1D8AB415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Arc: story → object → source → practice → web → reframe</w:t>
      </w:r>
    </w:p>
    <w:p w14:paraId="6D2B4EB6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Reference article: Bilva_Mahadev_Dharmic_Concept.docx</w:t>
      </w:r>
    </w:p>
    <w:p w14:paraId="31778817" w14:textId="77777777" w:rsidR="007F17E1" w:rsidRDefault="007F17E1">
      <w:pPr>
        <w:spacing w:after="120"/>
      </w:pPr>
    </w:p>
    <w:p w14:paraId="51ACAA74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◆ Practice Concepts (Why do we do X?)  [DHARMIC CONCEPTS–specific]</w:t>
      </w:r>
    </w:p>
    <w:p w14:paraId="681404A5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Why grains avoided on Ekadashi, What is Pitru Paksha, What is Chaturmas</w:t>
      </w:r>
    </w:p>
    <w:p w14:paraId="63032C58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Arc: question → the tradition's answer → the source → the practical rule → the wider context → reframe</w:t>
      </w:r>
    </w:p>
    <w:p w14:paraId="0BC91638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Reference article: grain avoidance canonical (in Kamika Ekadashi)</w:t>
      </w:r>
    </w:p>
    <w:p w14:paraId="3C662B8D" w14:textId="77777777" w:rsidR="007F17E1" w:rsidRDefault="007F17E1">
      <w:pPr>
        <w:spacing w:after="120"/>
      </w:pPr>
    </w:p>
    <w:p w14:paraId="36A18575" w14:textId="77777777" w:rsidR="007F17E1" w:rsidRDefault="00000000">
      <w:pPr>
        <w:spacing w:after="80"/>
      </w:pPr>
      <w:r>
        <w:rPr>
          <w:rFonts w:ascii="Calibri" w:hAnsi="Calibri"/>
          <w:b/>
          <w:color w:val="A07800"/>
          <w:sz w:val="20"/>
        </w:rPr>
        <w:t>◆ Time Concepts (What is X period and why?)  [DHARMIC CONCEPTS–specific]</w:t>
      </w:r>
    </w:p>
    <w:p w14:paraId="6D89AD0C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What is Navratri (tamas/rajas/sattva), What is Chaturmas, Why Diwali on Amavasya</w:t>
      </w:r>
    </w:p>
    <w:p w14:paraId="55C09381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Arc: the question → the philosophical structure → the source → how it maps to practice → reframe</w:t>
      </w:r>
    </w:p>
    <w:p w14:paraId="57E79627" w14:textId="77777777" w:rsidR="007F17E1" w:rsidRDefault="00000000">
      <w:pPr>
        <w:spacing w:after="60"/>
      </w:pPr>
      <w:r>
        <w:rPr>
          <w:rFonts w:ascii="Calibri" w:hAnsi="Calibri"/>
          <w:color w:val="4A3525"/>
          <w:sz w:val="18"/>
        </w:rPr>
        <w:t xml:space="preserve">    No reference article yet — first one to be written</w:t>
      </w:r>
    </w:p>
    <w:p w14:paraId="6A782B49" w14:textId="77777777" w:rsidR="007F17E1" w:rsidRDefault="007F17E1">
      <w:pPr>
        <w:spacing w:after="120"/>
      </w:pPr>
    </w:p>
    <w:sectPr w:rsidR="007F17E1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344793">
    <w:abstractNumId w:val="8"/>
  </w:num>
  <w:num w:numId="2" w16cid:durableId="1603562301">
    <w:abstractNumId w:val="6"/>
  </w:num>
  <w:num w:numId="3" w16cid:durableId="1864899248">
    <w:abstractNumId w:val="5"/>
  </w:num>
  <w:num w:numId="4" w16cid:durableId="788356034">
    <w:abstractNumId w:val="4"/>
  </w:num>
  <w:num w:numId="5" w16cid:durableId="1904949117">
    <w:abstractNumId w:val="7"/>
  </w:num>
  <w:num w:numId="6" w16cid:durableId="1294408286">
    <w:abstractNumId w:val="3"/>
  </w:num>
  <w:num w:numId="7" w16cid:durableId="858156596">
    <w:abstractNumId w:val="2"/>
  </w:num>
  <w:num w:numId="8" w16cid:durableId="1402603497">
    <w:abstractNumId w:val="1"/>
  </w:num>
  <w:num w:numId="9" w16cid:durableId="170637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17E1"/>
    <w:rsid w:val="00AA1D8D"/>
    <w:rsid w:val="00AF1AE1"/>
    <w:rsid w:val="00B47730"/>
    <w:rsid w:val="00BA22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F4E15"/>
  <w14:defaultImageDpi w14:val="300"/>
  <w15:docId w15:val="{05C5E64D-C990-424A-BA9C-7C90E33D9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Komal Gupta</cp:lastModifiedBy>
  <cp:revision>2</cp:revision>
  <dcterms:created xsi:type="dcterms:W3CDTF">2013-12-23T23:15:00Z</dcterms:created>
  <dcterms:modified xsi:type="dcterms:W3CDTF">2026-08-02T16:33:00Z</dcterms:modified>
  <cp:category/>
</cp:coreProperties>
</file>