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/>
          <w:b/>
          <w:i w:val="0"/>
          <w:color w:val="EF0F54"/>
          <w:sz w:val="20"/>
        </w:rPr>
        <w:t>THE TAPA CO.  |  PANCHANG  |  ARTICLE TEMPLATE</w:t>
      </w:r>
    </w:p>
    <w:p>
      <w:pPr>
        <w:spacing w:after="120"/>
        <w:jc w:val="center"/>
      </w:pPr>
      <w:r>
        <w:rPr>
          <w:rFonts w:ascii="Calibri" w:hAnsi="Calibri"/>
          <w:b/>
          <w:i w:val="0"/>
          <w:color w:val="4A3525"/>
          <w:sz w:val="32"/>
        </w:rPr>
        <w:t>Template Reference — PANCHANG</w:t>
      </w:r>
    </w:p>
    <w:p>
      <w:pPr>
        <w:spacing w:after="120"/>
        <w:jc w:val="center"/>
      </w:pPr>
      <w:r>
        <w:rPr>
          <w:rFonts w:ascii="Calibri" w:hAnsi="Calibri"/>
          <w:b w:val="0"/>
          <w:i/>
          <w:color w:val="6B7280"/>
          <w:sz w:val="18"/>
        </w:rPr>
        <w:t>Use this as the structural reference for every article in this category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20"/>
        </w:rPr>
      </w:r>
    </w:p>
    <w:p>
      <w:pPr>
        <w:spacing w:after="80"/>
      </w:pPr>
      <w:r>
        <w:rPr>
          <w:rFonts w:ascii="Calibri" w:hAnsi="Calibri"/>
          <w:b w:val="0"/>
          <w:i w:val="0"/>
          <w:color w:val="D0C8B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/>
      </w:pPr>
      <w:r>
        <w:rPr>
          <w:rFonts w:ascii="Calibri" w:hAnsi="Calibri"/>
          <w:b/>
          <w:i w:val="0"/>
          <w:color w:val="EF0F54"/>
          <w:sz w:val="22"/>
        </w:rPr>
        <w:t>THE COMMON FLOW (shared across all categories)</w:t>
      </w:r>
    </w:p>
    <w:p>
      <w:pPr>
        <w:spacing w:after="120"/>
      </w:pPr>
      <w:r>
        <w:rPr>
          <w:rFonts w:ascii="Calibri" w:hAnsi="Calibri"/>
          <w:b/>
          <w:i w:val="0"/>
          <w:color w:val="A07800"/>
          <w:sz w:val="18"/>
        </w:rPr>
        <w:t>① Cover → ② How to Use → ③ Part A Backend → ④ Part B Article → ⑤ Ritual Card (Ritual Guides only)</w:t>
      </w:r>
    </w:p>
    <w:p>
      <w:pPr>
        <w:spacing w:after="120"/>
      </w:pPr>
      <w:r>
        <w:rPr>
          <w:rFonts w:ascii="Calibri" w:hAnsi="Calibri"/>
          <w:b/>
          <w:i w:val="0"/>
          <w:color w:val="EF0F54"/>
          <w:sz w:val="18"/>
        </w:rPr>
        <w:t>NON-NEGOTIABLES in every article: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★ DPB visible — Dharma and Pratha explicitly separated, Bhranti corrected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★ Myths &amp; Facts section with Bhranti corrections — brand moat, never skip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★ Clear Dharma vs Pratha separation — visibly bifurcated, never mixed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★ At least 1 image brief inline at exact position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★ Source cited with classification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★ Closing prose that completes the arc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★ Related links connecting to the knowledge web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★ No commerce above the fold</w:t>
      </w:r>
    </w:p>
    <w:p>
      <w:pPr>
        <w:spacing w:after="80"/>
      </w:pPr>
      <w:r>
        <w:rPr>
          <w:rFonts w:ascii="Calibri" w:hAnsi="Calibri"/>
          <w:b w:val="0"/>
          <w:i w:val="0"/>
          <w:color w:val="D0C8B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60"/>
      </w:pPr>
      <w:r>
        <w:rPr>
          <w:rFonts w:ascii="Calibri" w:hAnsi="Calibri"/>
          <w:b/>
          <w:i w:val="0"/>
          <w:color w:val="4A3525"/>
          <w:sz w:val="28"/>
        </w:rPr>
        <w:t>TEMPLATE STRUCTURE — PANCHANG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20"/>
        </w:rPr>
      </w:r>
    </w:p>
    <w:p>
      <w:pPr>
        <w:spacing w:after="120"/>
      </w:pPr>
      <w:r>
        <w:rPr>
          <w:rFonts w:ascii="Calibri" w:hAnsi="Calibri"/>
          <w:b/>
          <w:i w:val="0"/>
          <w:color w:val="EF0F54"/>
          <w:sz w:val="22"/>
        </w:rPr>
        <w:t>COVER</w:t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20"/>
        </w:rPr>
        <w:t>● Category Line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THE TAPA CO.  |  PANCHANG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20"/>
        </w:rPr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20"/>
        </w:rPr>
        <w:t>● Title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[Descriptive title — what the article explains]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Panchang titles can include the year (time-indexed by nature)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20"/>
        </w:rPr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20"/>
        </w:rPr>
        <w:t>● Stage + Date Line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Stage 1 — Editorial Draft  |  Panchang category  |  [Date range or 'Evergreen']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20"/>
        </w:rPr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20"/>
        </w:rPr>
        <w:t>◆ How to Use Box (TABLE)  [PANCHANG–specific]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PANCHANG FORMAT — Different from Ritual Guides. Key differences listed: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No Dharma tag pill, Source Strip replaces Credibility Card, 5-slot nav chips, no commerce CTA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Must explicitly state what's different from Ritual Guides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20"/>
        </w:rPr>
      </w:r>
    </w:p>
    <w:p>
      <w:r>
        <w:br w:type="page"/>
      </w:r>
    </w:p>
    <w:p>
      <w:pPr>
        <w:spacing w:after="120"/>
      </w:pPr>
      <w:r>
        <w:rPr>
          <w:rFonts w:ascii="Calibri" w:hAnsi="Calibri"/>
          <w:b/>
          <w:i w:val="0"/>
          <w:color w:val="EF0F54"/>
          <w:sz w:val="22"/>
        </w:rPr>
        <w:t>PART A — EDITORIAL NOTES (table-formatted banner)</w:t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20"/>
        </w:rPr>
        <w:t>◆ A1. Source and Scoring Note (TABLE)  [PANCHANG–specific]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Replaces Source-of-Truth Panel. No Tagging Log.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FIELD / VALUE format — Date/Timing Source, Tag/Confidence (always 'None per Addendum 14.1')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Panchang articles carry NO tag and NO confidence score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20"/>
        </w:rPr>
      </w:r>
    </w:p>
    <w:p>
      <w:pPr>
        <w:spacing w:after="80"/>
      </w:pPr>
      <w:r>
        <w:rPr>
          <w:rFonts w:ascii="Calibri" w:hAnsi="Calibri"/>
          <w:b/>
          <w:i w:val="0"/>
          <w:color w:val="6B7280"/>
          <w:sz w:val="18"/>
        </w:rPr>
        <w:t>✗  A2. Internal Tagging Log  —  NOT IN THIS CATEGORY</w:t>
      </w:r>
    </w:p>
    <w:p>
      <w:pPr>
        <w:spacing w:after="80"/>
      </w:pPr>
      <w:r>
        <w:rPr>
          <w:rFonts w:ascii="Calibri" w:hAnsi="Calibri"/>
          <w:b w:val="0"/>
          <w:i/>
          <w:color w:val="6B7280"/>
          <w:sz w:val="16"/>
        </w:rPr>
        <w:t>↳ Panchang articles do not have per-element DPB tagging. The content is timing data, not ritual-authority claims.</w:t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20"/>
        </w:rPr>
        <w:t>● A3. Stage 2 Checklist (TABLE)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Date/timing verification against Drik Panchang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Visibility confirmation (for eclipses)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Cross-link consistency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20"/>
        </w:rPr>
      </w:r>
    </w:p>
    <w:p>
      <w:r>
        <w:br w:type="page"/>
      </w:r>
    </w:p>
    <w:p>
      <w:pPr>
        <w:spacing w:after="120"/>
      </w:pPr>
      <w:r>
        <w:rPr>
          <w:rFonts w:ascii="Calibri" w:hAnsi="Calibri"/>
          <w:b/>
          <w:i w:val="0"/>
          <w:color w:val="EF0F54"/>
          <w:sz w:val="22"/>
        </w:rPr>
        <w:t>PART B — ARTICLE (table-formatted banner)</w:t>
      </w:r>
    </w:p>
    <w:p>
      <w:pPr>
        <w:spacing w:after="80"/>
      </w:pPr>
      <w:r>
        <w:rPr>
          <w:rFonts w:ascii="Calibri" w:hAnsi="Calibri"/>
          <w:b/>
          <w:i w:val="0"/>
          <w:color w:val="6B7280"/>
          <w:sz w:val="18"/>
        </w:rPr>
        <w:t>✗  Dharma Tag Pill  —  NOT IN THIS CATEGORY</w:t>
      </w:r>
    </w:p>
    <w:p>
      <w:pPr>
        <w:spacing w:after="80"/>
      </w:pPr>
      <w:r>
        <w:rPr>
          <w:rFonts w:ascii="Calibri" w:hAnsi="Calibri"/>
          <w:b w:val="0"/>
          <w:i/>
          <w:color w:val="6B7280"/>
          <w:sz w:val="16"/>
        </w:rPr>
        <w:t>↳ Panchang articles do not carry the classification badge. Addendum 14.1.</w:t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20"/>
        </w:rPr>
        <w:t>◆ Source Strip (TABLE) — replaces Credibility Card  [PANCHANG–specific]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Small, muted, below subtitle. No stars. No confidence rating.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Source: [Drik Panchang | Delhi-NCR | year]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Note: No tag / Confidence Score per Addendum 14.1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20"/>
        </w:rPr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20"/>
        </w:rPr>
        <w:t>◆ Panchang Card / Data Block (TABLE)  [PANCHANG–specific]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Event-specific data. Eclipse: Event/Date/Visibility/Sutak columns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Calendar: Month data. How to Read: field definitions.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Dark header with gold label, same as Ritual Guides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20"/>
        </w:rPr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20"/>
        </w:rPr>
        <w:t>● Audio Listen Bar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Same component as Ritual Guides. No change.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20"/>
        </w:rPr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20"/>
        </w:rPr>
        <w:t>◆ Section Nav Chips — 5 slots (TABLE)  [PANCHANG–specific]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📅 Dates · 🌍 Visibility · ☀️ What it is · ✕ Myths · 🔗 Related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No Puja slot, no Samagri slot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20"/>
        </w:rPr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20"/>
        </w:rPr>
        <w:t>● Intro Prose (paragraphs)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Evergreen opener. Utility-focused — answers a practical question.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20"/>
        </w:rPr>
      </w:r>
    </w:p>
    <w:p>
      <w:pPr>
        <w:spacing w:after="80"/>
      </w:pPr>
      <w:r>
        <w:rPr>
          <w:rFonts w:ascii="Calibri" w:hAnsi="Calibri"/>
          <w:b/>
          <w:i w:val="0"/>
          <w:color w:val="EF0F54"/>
          <w:sz w:val="18"/>
        </w:rPr>
        <w:t>★  IMAGE 1 — inline, INFOGRAPHIC ONLY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PARAGRAPH-formatted brief (not table)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Type: DESIGNED INFOGRAPHIC — maps, diagrams, flowcharts. NOT photographs.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Designer builds from data. Reusable templates encouraged.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No atmospheric photography. No AI scenery. Images are data visualisations.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20"/>
        </w:rPr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20"/>
        </w:rPr>
        <w:t>◆ Core Content Sections (paragraphs + mini-data TABLES)  [PANCHANG–specific]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Event blocks with mini-data row (TABLE) + prose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Data-first, prose-second. Utility article — not narrative.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Keep concise — the user came for the answer, not the story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20"/>
        </w:rPr>
      </w:r>
    </w:p>
    <w:p>
      <w:pPr>
        <w:spacing w:after="80"/>
      </w:pPr>
      <w:r>
        <w:rPr>
          <w:rFonts w:ascii="Calibri" w:hAnsi="Calibri"/>
          <w:b/>
          <w:i w:val="0"/>
          <w:color w:val="EF0F54"/>
          <w:sz w:val="18"/>
        </w:rPr>
        <w:t>★  IMAGE 2 — inline, INFOGRAPHIC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Same paragraph format as Image 1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20"/>
        </w:rPr>
      </w:r>
    </w:p>
    <w:p>
      <w:pPr>
        <w:spacing w:after="80"/>
      </w:pPr>
      <w:r>
        <w:rPr>
          <w:rFonts w:ascii="Calibri" w:hAnsi="Calibri"/>
          <w:b/>
          <w:i w:val="0"/>
          <w:color w:val="EF0F54"/>
          <w:sz w:val="18"/>
        </w:rPr>
        <w:t>★  DHARMA vs PRATHA — explicit separation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What the Panchang data says (timing, visibility) = factual, no DPB tag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What folk practice says (avoid travel on Amavasya, Rahu Kaal fears) = PRATHA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Must be clearly separated — the Panchang gives data, the tradition adds interpretation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20"/>
        </w:rPr>
      </w:r>
    </w:p>
    <w:p>
      <w:pPr>
        <w:spacing w:after="80"/>
      </w:pPr>
      <w:r>
        <w:rPr>
          <w:rFonts w:ascii="Calibri" w:hAnsi="Calibri"/>
          <w:b/>
          <w:i w:val="0"/>
          <w:color w:val="EF0F54"/>
          <w:sz w:val="18"/>
        </w:rPr>
        <w:t>★  Myths &amp; Facts — Bhranti corrections (1-2 TABLES)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BHRANTI classification, no Confidence Score — per Addendum 14.1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Correction badge replaces score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Examples: 'Eclipse affects everyone regardless of visibility', 'Amavasya is unlucky for everything'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20"/>
        </w:rPr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20"/>
        </w:rPr>
        <w:t>◆ Practical Section — What This Means for Your Plans  [PANCHANG–specific]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Direct. What to do, not what to worry about.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No hedging. Tell the user the answer.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20"/>
        </w:rPr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20"/>
        </w:rPr>
        <w:t>● Related (TABLES)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2-3 links. Vrat calendar, related festival articles.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20"/>
        </w:rPr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20"/>
        </w:rPr>
        <w:t>● WA Nudge (TABLE)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Generic copy.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20"/>
        </w:rPr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20"/>
        </w:rPr>
        <w:t>◆ Sticky Bar (TABLE) — Download only  [PANCHANG–specific]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'Download Full [Year] Calendar'. No kit, no pandit.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Panchang articles NEVER have commerce CTAs.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20"/>
        </w:rPr>
      </w:r>
    </w:p>
    <w:p>
      <w:r>
        <w:br w:type="page"/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20"/>
        </w:rPr>
        <w:t>◆ Panchang Format Template Reference Page (TABLE)  [PANCHANG–specific]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End-of-document reference for dev/editorial team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Lists all Panchang format rules in one table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Component / Panchang Format Rule columns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20"/>
        </w:rPr>
      </w:r>
    </w:p>
    <w:p>
      <w:pPr>
        <w:spacing w:after="80"/>
      </w:pPr>
      <w:r>
        <w:rPr>
          <w:rFonts w:ascii="Calibri" w:hAnsi="Calibri"/>
          <w:b/>
          <w:i w:val="0"/>
          <w:color w:val="6B7280"/>
          <w:sz w:val="18"/>
        </w:rPr>
        <w:t>✗  Ritual Card  —  NOT IN THIS CATEGORY</w:t>
      </w:r>
    </w:p>
    <w:p>
      <w:pPr>
        <w:spacing w:after="80"/>
      </w:pPr>
      <w:r>
        <w:rPr>
          <w:rFonts w:ascii="Calibri" w:hAnsi="Calibri"/>
          <w:b w:val="0"/>
          <w:i/>
          <w:color w:val="6B7280"/>
          <w:sz w:val="16"/>
        </w:rPr>
        <w:t>↳ Panchang articles do not generate ritual cards.</w:t>
      </w:r>
    </w:p>
    <w:p>
      <w:pPr>
        <w:spacing w:after="80"/>
      </w:pPr>
      <w:r>
        <w:rPr>
          <w:rFonts w:ascii="Calibri" w:hAnsi="Calibri"/>
          <w:b/>
          <w:i w:val="0"/>
          <w:color w:val="6B7280"/>
          <w:sz w:val="18"/>
        </w:rPr>
        <w:t>✗  Intelligence Layer  —  NOT IN THIS CATEGORY</w:t>
      </w:r>
    </w:p>
    <w:p>
      <w:pPr>
        <w:spacing w:after="80"/>
      </w:pPr>
      <w:r>
        <w:rPr>
          <w:rFonts w:ascii="Calibri" w:hAnsi="Calibri"/>
          <w:b w:val="0"/>
          <w:i/>
          <w:color w:val="6B7280"/>
          <w:sz w:val="16"/>
        </w:rPr>
        <w:t>↳ Panchang articles do not carry intelligence layer cards. But suggest cross-links to Dharmic Concepts where relevant.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