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EF0F54"/>
          <w:sz w:val="20"/>
          <w:szCs w:val="20"/>
        </w:rPr>
        <w:t xml:space="preserve">THE TAPA CO.  |  RITUAL GUIDES — REFERENCE</w:t>
      </w:r>
    </w:p>
    <w:p>
      <w:pPr>
        <w:spacing w:after="60"/>
        <w:jc w:val="center"/>
      </w:pPr>
      <w:r>
        <w:rPr>
          <w:rFonts w:ascii="Calibri" w:cs="Calibri" w:eastAsia="Calibri" w:hAnsi="Calibri"/>
          <w:b/>
          <w:bCs/>
          <w:color w:val="4A3525"/>
          <w:sz w:val="32"/>
          <w:szCs w:val="32"/>
        </w:rPr>
        <w:t xml:space="preserve">Hariyali Teej vs Kajari Teej vs Hartalika Teej</w:t>
      </w:r>
    </w:p>
    <w:p>
      <w:pPr>
        <w:spacing w:after="60"/>
        <w:jc w:val="center"/>
      </w:pPr>
      <w:r>
        <w:rPr>
          <w:rFonts w:ascii="Calibri" w:cs="Calibri" w:eastAsia="Calibri" w:hAnsi="Calibri"/>
          <w:i/>
          <w:iCs/>
          <w:color w:val="6B7280"/>
          <w:sz w:val="18"/>
          <w:szCs w:val="18"/>
        </w:rPr>
        <w:t xml:space="preserve">Companion comparison piece to the three individual Teej articles</w:t>
      </w:r>
    </w:p>
    <w:p>
      <w:pPr>
        <w:spacing w:after="300"/>
        <w:jc w:val="center"/>
      </w:pPr>
      <w:r>
        <w:rPr>
          <w:rFonts w:ascii="Calibri" w:cs="Calibri" w:eastAsia="Calibri" w:hAnsi="Calibri"/>
          <w:color w:val="6B7280"/>
          <w:sz w:val="18"/>
          <w:szCs w:val="18"/>
        </w:rPr>
        <w:t xml:space="preserve">Format: reference / comparison  |  No single source-of-truth panel  |  No tagging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C8BC" w:sz="4"/>
              <w:left w:val="single" w:color="D0C8BC" w:sz="4"/>
              <w:bottom w:val="single" w:color="D0C8BC" w:sz="4"/>
              <w:right w:val="single" w:color="D0C8BC" w:sz="4"/>
            </w:tcBorders>
            <w:shd w:fill="F5F1E8" w:val="clear"/>
            <w:tcMar>
              <w:top w:type="dxa" w:w="140"/>
              <w:left w:type="dxa" w:w="200"/>
              <w:bottom w:type="dxa" w:w="140"/>
              <w:right w:type="dxa" w:w="200"/>
            </w:tcMar>
          </w:tcPr>
          <w:p>
            <w:pPr>
              <w:spacing w:after="80"/>
            </w:pPr>
            <w:r>
              <w:rPr>
                <w:rFonts w:ascii="Calibri" w:cs="Calibri" w:eastAsia="Calibri" w:hAnsi="Calibri"/>
                <w:b/>
                <w:bCs/>
                <w:color w:val="4A3525"/>
                <w:sz w:val="19"/>
                <w:szCs w:val="19"/>
              </w:rPr>
              <w:t xml:space="preserve">HOW TO USE THIS DOCUMENT</w:t>
            </w:r>
          </w:p>
          <w:p>
            <w:pPr>
              <w:spacing w:after="60"/>
            </w:pPr>
            <w:r>
              <w:rPr>
                <w:rFonts w:ascii="Calibri" w:cs="Calibri" w:eastAsia="Calibri" w:hAnsi="Calibri"/>
                <w:color w:val="4A3525"/>
                <w:sz w:val="19"/>
                <w:szCs w:val="19"/>
              </w:rPr>
              <w:t xml:space="preserve">This is a companion reference piece, not a standalone Ritual Guides article. It pairs with three individual articles: Hariyali Teej, Kajari Teej, and Hartalika Teej. It exists specifically to resolve the recurring user confusion about which Teej is which.</w:t>
            </w:r>
          </w:p>
          <w:p>
            <w:pPr>
              <w:pStyle w:val="ListParagraph"/>
              <w:numPr>
                <w:ilvl w:val="0"/>
                <w:numId w:val="2"/>
              </w:numPr>
              <w:spacing w:after="40"/>
            </w:pPr>
            <w:r>
              <w:rPr>
                <w:rFonts w:ascii="Calibri" w:cs="Calibri" w:eastAsia="Calibri" w:hAnsi="Calibri"/>
                <w:color w:val="4A3525"/>
                <w:sz w:val="19"/>
                <w:szCs w:val="19"/>
              </w:rPr>
              <w:t xml:space="preserve">PART A — Editorial Notes: Brief note on purpose and what to check before publishing.</w:t>
            </w:r>
          </w:p>
          <w:p>
            <w:pPr>
              <w:pStyle w:val="ListParagraph"/>
              <w:numPr>
                <w:ilvl w:val="0"/>
                <w:numId w:val="2"/>
              </w:numPr>
              <w:spacing w:after="40"/>
            </w:pPr>
            <w:r>
              <w:rPr>
                <w:rFonts w:ascii="Calibri" w:cs="Calibri" w:eastAsia="Calibri" w:hAnsi="Calibri"/>
                <w:color w:val="4A3525"/>
                <w:sz w:val="19"/>
                <w:szCs w:val="19"/>
              </w:rPr>
              <w:t xml:space="preserve">PART B — The Comparison: Full side-by-side table + three confusion-correction boxes.</w:t>
            </w:r>
          </w:p>
          <w:p>
            <w:r>
              <w:rPr>
                <w:rFonts w:ascii="Calibri" w:cs="Calibri" w:eastAsia="Calibri" w:hAnsi="Calibri"/>
                <w:i/>
                <w:iCs/>
                <w:color w:val="888888"/>
                <w:sz w:val="17"/>
                <w:szCs w:val="17"/>
              </w:rPr>
              <w:t xml:space="preserve">There is no Source-of-Truth Panel, no Tagging Log, and no Vrat Katha in this document. Data in the comparison table must match the individual Teej articles exactly — any discrepancy is an error in one of the two documents.</w:t>
            </w:r>
          </w:p>
        </w:tc>
      </w:tr>
    </w:tbl>
    <w:p>
      <w:r>
        <w:br w:type="page"/>
      </w:r>
    </w:p>
    <w:tbl>
      <w:tblPr>
        <w:tblW w:type="dxa" w:w="10080"/>
        <w:tblBorders>
          <w:top w:val="single" w:color="D0C8BC" w:sz="4"/>
          <w:left w:val="single" w:color="D0C8BC" w:sz="4"/>
          <w:bottom w:val="single" w:color="D0C8BC" w:sz="4"/>
          <w:right w:val="single" w:color="D0C8BC" w:sz="4"/>
          <w:insideH w:val="single" w:color="auto" w:sz="4"/>
          <w:insideV w:val="single" w:color="auto" w:sz="4"/>
        </w:tblBorders>
      </w:tblPr>
      <w:tblGrid>
        <w:gridCol w:w="10080"/>
      </w:tblGrid>
      <w:tr>
        <w:tc>
          <w:tcPr>
            <w:tcW w:type="dxa" w:w="10080"/>
            <w:tcBorders>
              <w:top w:val="single" w:color="D0C8BC" w:sz="4"/>
              <w:left w:val="single" w:color="D0C8BC" w:sz="4"/>
              <w:bottom w:val="single" w:color="D0C8BC" w:sz="4"/>
              <w:right w:val="single" w:color="D0C8BC" w:sz="4"/>
            </w:tcBorders>
            <w:shd w:fill="4A3525" w:val="clear"/>
            <w:tcMar>
              <w:top w:type="dxa" w:w="120"/>
              <w:left w:type="dxa" w:w="200"/>
              <w:bottom w:type="dxa" w:w="120"/>
              <w:right w:type="dxa" w:w="200"/>
            </w:tcMar>
          </w:tcPr>
          <w:p>
            <w:r>
              <w:rPr>
                <w:rFonts w:ascii="Calibri" w:cs="Calibri" w:eastAsia="Calibri" w:hAnsi="Calibri"/>
                <w:b/>
                <w:bCs/>
                <w:color w:val="FFFFFF"/>
                <w:sz w:val="24"/>
                <w:szCs w:val="24"/>
              </w:rPr>
              <w:t xml:space="preserve">PART A — EDITORIAL NOTES</w:t>
            </w:r>
          </w:p>
          <w:p>
            <w:r>
              <w:rPr>
                <w:rFonts w:ascii="Calibri" w:cs="Calibri" w:eastAsia="Calibri" w:hAnsi="Calibri"/>
                <w:i/>
                <w:iCs/>
                <w:color w:val="AAAAAA"/>
                <w:sz w:val="17"/>
                <w:szCs w:val="17"/>
              </w:rPr>
              <w:t xml:space="preserve">Not shown to user  |  Brief pre-publish checklist</w:t>
            </w:r>
          </w:p>
        </w:tc>
      </w:tr>
    </w:tbl>
    <w:p>
      <w:pPr>
        <w:spacing w:after="80"/>
      </w:pPr>
      <w:r>
        <w:rPr>
          <w:sz w:val="20"/>
          <w:szCs w:val="20"/>
        </w:rPr>
        <w:t xml:space="preserve"/>
      </w:r>
    </w:p>
    <w:p>
      <w:pPr>
        <w:pStyle w:val="Heading2"/>
        <w:spacing w:after="120" w:before="240"/>
      </w:pPr>
      <w:r>
        <w:rPr>
          <w:rFonts w:ascii="Calibri" w:cs="Calibri" w:eastAsia="Calibri" w:hAnsi="Calibri"/>
          <w:b/>
          <w:bCs/>
          <w:color w:val="4A3525"/>
          <w:sz w:val="26"/>
          <w:szCs w:val="26"/>
        </w:rPr>
        <w:t xml:space="preserve">A1.  Purpose and Format Notes</w:t>
      </w:r>
    </w:p>
    <w:p>
      <w:pPr>
        <w:shd w:fill="F0EDE8" w:val="clear"/>
        <w:spacing w:after="60" w:before="60"/>
      </w:pPr>
      <w:r>
        <w:rPr>
          <w:rFonts w:ascii="Calibri" w:cs="Calibri" w:eastAsia="Calibri" w:hAnsi="Calibri"/>
          <w:i/>
          <w:iCs/>
          <w:color w:val="888888"/>
          <w:sz w:val="17"/>
          <w:szCs w:val="17"/>
        </w:rPr>
        <w:t xml:space="preserve">  ↳ This document is a reference piece. It does not have the standard Article structure. The mobile UI should render it as a simplified page: intro text, comparison table (possibly scrollable horizontally on mobile), three myth-correction boxes, and links to the three full articles.</w:t>
      </w:r>
    </w:p>
    <w:p>
      <w:pPr>
        <w:spacing w:after="60"/>
      </w:pPr>
      <w:r>
        <w:rPr>
          <w:sz w:val="20"/>
          <w:szCs w:val="20"/>
        </w:rPr>
        <w:t xml:space="preserve"/>
      </w:r>
    </w:p>
    <w:tbl>
      <w:tblPr>
        <w:tblW w:type="dxa" w:w="10080"/>
        <w:tblBorders>
          <w:top w:val="single" w:color="D0C8BC" w:sz="4"/>
          <w:left w:val="single" w:color="D0C8BC" w:sz="4"/>
          <w:bottom w:val="single" w:color="D0C8BC" w:sz="4"/>
          <w:right w:val="single" w:color="D0C8BC" w:sz="4"/>
          <w:insideH w:val="single" w:color="auto" w:sz="4"/>
          <w:insideV w:val="single" w:color="auto" w:sz="4"/>
        </w:tblBorders>
      </w:tblPr>
      <w:tblGrid>
        <w:gridCol w:w="500"/>
        <w:gridCol w:w="7580"/>
        <w:gridCol w:w="1000"/>
        <w:gridCol w:w="1000"/>
      </w:tblGrid>
      <w:tr>
        <w:tc>
          <w:tcPr>
            <w:tcW w:type="dxa" w:w="500"/>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w:t>
            </w:r>
          </w:p>
        </w:tc>
        <w:tc>
          <w:tcPr>
            <w:tcW w:type="dxa" w:w="7580"/>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PRE-PUBLISH CHECKLIST</w:t>
            </w:r>
          </w:p>
        </w:tc>
        <w:tc>
          <w:tcPr>
            <w:tcW w:type="dxa" w:w="1000"/>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INITIALS</w:t>
            </w:r>
          </w:p>
        </w:tc>
        <w:tc>
          <w:tcPr>
            <w:tcW w:type="dxa" w:w="1000"/>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DATE</w:t>
            </w:r>
          </w:p>
        </w:tc>
      </w:tr>
      <w:tr>
        <w:tc>
          <w:tcPr>
            <w:tcW w:type="dxa" w:w="5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1</w:t>
            </w:r>
          </w:p>
        </w:tc>
        <w:tc>
          <w:tcPr>
            <w:tcW w:type="dxa" w:w="758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Verify all dates in the comparison table match the corresponding individual articles. If an individual article's date changes, this table must be updated simultaneously.</w:t>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r>
      <w:tr>
        <w:tc>
          <w:tcPr>
            <w:tcW w:type="dxa" w:w="5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2</w:t>
            </w:r>
          </w:p>
        </w:tc>
        <w:tc>
          <w:tcPr>
            <w:tcW w:type="dxa" w:w="758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Verify the 'Founding source' row accurately reflects what each individual article says. Hariyali Teej = Shiva Purana (Rudra Samhita / Parvati Khanda). Kajari Teej = Folk tradition / oral. Hartalika Teej = Shiva Purana (Hartalika episode). No changes without updating the corresponding article.</w:t>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r>
      <w:tr>
        <w:tc>
          <w:tcPr>
            <w:tcW w:type="dxa" w:w="5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3</w:t>
            </w:r>
          </w:p>
        </w:tc>
        <w:tc>
          <w:tcPr>
            <w:tcW w:type="dxa" w:w="758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Confirm that Hartalika Teej article exists and is linked before this comparison piece goes live. Publishing the comparison without the third article leaves a dead link.</w:t>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r>
      <w:tr>
        <w:tc>
          <w:tcPr>
            <w:tcW w:type="dxa" w:w="5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4</w:t>
            </w:r>
          </w:p>
        </w:tc>
        <w:tc>
          <w:tcPr>
            <w:tcW w:type="dxa" w:w="758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The three confusion-resolution boxes at the bottom are editorial judgments. Confirm the framing does not inadvertently create new confusions or cause offence to practitioners of any of the three traditions.</w:t>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c>
          <w:tcPr>
            <w:tcW w:type="dxa" w:w="1000"/>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sz w:val="20"/>
                <w:szCs w:val="20"/>
              </w:rPr>
              <w:t xml:space="preserve"/>
            </w:r>
          </w:p>
        </w:tc>
      </w:tr>
    </w:tbl>
    <w:p>
      <w:r>
        <w:br w:type="page"/>
      </w:r>
    </w:p>
    <w:tbl>
      <w:tblPr>
        <w:tblW w:type="dxa" w:w="10080"/>
        <w:tblBorders>
          <w:top w:val="single" w:color="D0C8BC" w:sz="4"/>
          <w:left w:val="single" w:color="D0C8BC" w:sz="4"/>
          <w:bottom w:val="single" w:color="D0C8BC" w:sz="4"/>
          <w:right w:val="single" w:color="D0C8BC" w:sz="4"/>
          <w:insideH w:val="single" w:color="auto" w:sz="4"/>
          <w:insideV w:val="single" w:color="auto" w:sz="4"/>
        </w:tblBorders>
      </w:tblPr>
      <w:tblGrid>
        <w:gridCol w:w="10080"/>
      </w:tblGrid>
      <w:tr>
        <w:tc>
          <w:tcPr>
            <w:tcW w:type="dxa" w:w="10080"/>
            <w:tcBorders>
              <w:top w:val="single" w:color="D0C8BC" w:sz="4"/>
              <w:left w:val="single" w:color="D0C8BC" w:sz="4"/>
              <w:bottom w:val="single" w:color="D0C8BC" w:sz="4"/>
              <w:right w:val="single" w:color="D0C8BC" w:sz="4"/>
            </w:tcBorders>
            <w:shd w:fill="4A3525" w:val="clear"/>
            <w:tcMar>
              <w:top w:type="dxa" w:w="120"/>
              <w:left w:type="dxa" w:w="200"/>
              <w:bottom w:type="dxa" w:w="120"/>
              <w:right w:type="dxa" w:w="200"/>
            </w:tcMar>
          </w:tcPr>
          <w:p>
            <w:r>
              <w:rPr>
                <w:rFonts w:ascii="Calibri" w:cs="Calibri" w:eastAsia="Calibri" w:hAnsi="Calibri"/>
                <w:b/>
                <w:bCs/>
                <w:color w:val="FFFFFF"/>
                <w:sz w:val="24"/>
                <w:szCs w:val="24"/>
              </w:rPr>
              <w:t xml:space="preserve">PART B — THE COMPARISON</w:t>
            </w:r>
          </w:p>
          <w:p>
            <w:r>
              <w:rPr>
                <w:rFonts w:ascii="Calibri" w:cs="Calibri" w:eastAsia="Calibri" w:hAnsi="Calibri"/>
                <w:i/>
                <w:iCs/>
                <w:color w:val="AAAAAA"/>
                <w:sz w:val="17"/>
                <w:szCs w:val="17"/>
              </w:rPr>
              <w:t xml:space="preserve">Shown to user  |  Do not edit table data without updating corresponding article</w:t>
            </w:r>
          </w:p>
        </w:tc>
      </w:tr>
    </w:tbl>
    <w:p>
      <w:pPr>
        <w:spacing w:after="80"/>
      </w:pPr>
      <w:r>
        <w:rPr>
          <w:sz w:val="20"/>
          <w:szCs w:val="20"/>
        </w:rPr>
        <w:t xml:space="preserve"/>
      </w:r>
    </w:p>
    <w:p>
      <w:pPr>
        <w:pStyle w:val="Heading2"/>
        <w:spacing w:after="120" w:before="240"/>
      </w:pPr>
      <w:r>
        <w:rPr>
          <w:rFonts w:ascii="Calibri" w:cs="Calibri" w:eastAsia="Calibri" w:hAnsi="Calibri"/>
          <w:b/>
          <w:bCs/>
          <w:color w:val="4A3525"/>
          <w:sz w:val="26"/>
          <w:szCs w:val="26"/>
        </w:rPr>
        <w:t xml:space="preserve">Intro (shown to user)</w:t>
      </w:r>
    </w:p>
    <w:p>
      <w:pPr>
        <w:shd w:fill="F0EDE8" w:val="clear"/>
        <w:spacing w:after="60" w:before="60"/>
      </w:pPr>
      <w:r>
        <w:rPr>
          <w:rFonts w:ascii="Calibri" w:cs="Calibri" w:eastAsia="Calibri" w:hAnsi="Calibri"/>
          <w:i/>
          <w:iCs/>
          <w:color w:val="888888"/>
          <w:sz w:val="17"/>
          <w:szCs w:val="17"/>
        </w:rPr>
        <w:t xml:space="preserve">  ↳ Keep intro very short — the user came for the table, not for more prose. Two sentences maximum.</w:t>
      </w:r>
    </w:p>
    <w:p>
      <w:pPr>
        <w:spacing w:after="60"/>
      </w:pPr>
      <w:r>
        <w:rPr>
          <w:sz w:val="20"/>
          <w:szCs w:val="20"/>
        </w:rPr>
        <w:t xml:space="preserve"/>
      </w:r>
    </w:p>
    <w:p>
      <w:pPr>
        <w:spacing w:after="160" w:before="0"/>
      </w:pPr>
      <w:r>
        <w:rPr>
          <w:rFonts w:ascii="Calibri" w:cs="Calibri" w:eastAsia="Calibri" w:hAnsi="Calibri"/>
          <w:b w:val="false"/>
          <w:bCs w:val="false"/>
          <w:i w:val="false"/>
          <w:iCs w:val="false"/>
          <w:color w:val="4A3525"/>
          <w:sz w:val="21"/>
          <w:szCs w:val="21"/>
        </w:rPr>
        <w:t xml:space="preserve">Three festivals carry the name Teej. All three honour Goddess Parvati and Lord Shiva. All three are observed by women for marital wellbeing. Here is how they differ.</w:t>
      </w:r>
    </w:p>
    <w:p>
      <w:pPr>
        <w:pBdr>
          <w:bottom w:val="single" w:color="EDE6D4" w:sz="6"/>
        </w:pBdr>
        <w:spacing w:after="180" w:before="180"/>
      </w:pPr>
      <w:r>
        <w:rPr>
          <w:sz w:val="4"/>
          <w:szCs w:val="4"/>
        </w:rPr>
        <w:t xml:space="preserve"/>
      </w:r>
    </w:p>
    <w:p>
      <w:pPr>
        <w:spacing w:after="40"/>
        <w:pBdr>
          <w:left w:val="single" w:sz="24" w:space="8" w:color="E8A020"/>
        </w:pBdr>
        <w:ind w:left="360"/>
        <w:shd w:val="clear" w:fill="FFF8E6"/>
      </w:pPr>
      <w:r>
        <w:rPr>
          <w:b/>
          <w:sz w:val="22"/>
          <w:szCs w:val="22"/>
          <w:color w:val="EF0F54"/>
          <w:rFonts w:ascii="Calibri" w:hAnsi="Calibri"/>
        </w:rPr>
        <w:t xml:space="preserve">IMAGE — Three Teejs on the Monsoon Calendar</w:t>
      </w:r>
    </w:p>
    <w:p>
      <w:pPr>
        <w:spacing w:after="40"/>
        <w:pBdr>
          <w:left w:val="single" w:sz="24" w:space="8" w:color="E8A020"/>
        </w:pBdr>
        <w:ind w:left="360"/>
        <w:shd w:val="clear" w:fill="FFF8E6"/>
      </w:pPr>
      <w:r>
        <w:rPr>
          <w:i/>
          <w:sz w:val="16"/>
          <w:szCs w:val="16"/>
          <w:color w:val="6B7280"/>
          <w:rFonts w:ascii="Calibri" w:hAnsi="Calibri"/>
        </w:rPr>
        <w:t xml:space="preserve">Placement: here — after intro prose, before the comparison table</w:t>
      </w:r>
    </w:p>
    <w:p>
      <w:pPr>
        <w:spacing w:after="40"/>
        <w:pBdr>
          <w:left w:val="single" w:sz="24" w:space="8" w:color="E8A020"/>
        </w:pBdr>
        <w:ind w:left="360"/>
        <w:shd w:val="clear" w:fill="FFF8E6"/>
      </w:pPr>
      <w:r>
        <w:rPr>
          <w:sz w:val="16"/>
          <w:szCs w:val="16"/>
          <w:color w:val="4A3525"/>
          <w:rFonts w:ascii="Calibri" w:hAnsi="Calibri"/>
        </w:rPr>
        <w:t xml:space="preserve">Type: DESIGNED INFOGRAPHIC — not a photograph. Designer builds from the table data.</w:t>
      </w:r>
    </w:p>
    <w:p>
      <w:pPr>
        <w:spacing w:after="40"/>
        <w:pBdr>
          <w:left w:val="single" w:sz="24" w:space="8" w:color="E8A020"/>
        </w:pBdr>
        <w:ind w:left="360"/>
        <w:shd w:val="clear" w:fill="FFF8E6"/>
      </w:pPr>
      <w:r>
        <w:rPr>
          <w:sz w:val="16"/>
          <w:szCs w:val="16"/>
          <w:color w:val="4A3525"/>
          <w:rFonts w:ascii="Calibri" w:hAnsi="Calibri"/>
        </w:rPr>
        <w:t xml:space="preserve">Dimensions: 390 × 260 px  |  Full bleed</w:t>
      </w:r>
    </w:p>
    <w:p>
      <w:pPr>
        <w:spacing w:after="40"/>
        <w:pBdr>
          <w:left w:val="single" w:sz="24" w:space="8" w:color="E8A020"/>
        </w:pBdr>
        <w:ind w:left="360"/>
        <w:shd w:val="clear" w:fill="FFF8E6"/>
      </w:pPr>
      <w:r>
        <w:rPr>
          <w:sz w:val="12"/>
          <w:szCs w:val="12"/>
          <w:color w:val="4A3525"/>
          <w:rFonts w:ascii="Calibri" w:hAnsi="Calibri"/>
        </w:rPr>
        <w:t xml:space="preserve"/>
      </w:r>
    </w:p>
    <w:p>
      <w:pPr>
        <w:spacing w:after="40"/>
        <w:pBdr>
          <w:left w:val="single" w:sz="24" w:space="8" w:color="E8A020"/>
        </w:pBdr>
        <w:ind w:left="360"/>
        <w:shd w:val="clear" w:fill="FFF8E6"/>
      </w:pPr>
      <w:r>
        <w:rPr>
          <w:b/>
          <w:sz w:val="18"/>
          <w:szCs w:val="18"/>
          <w:color w:val="4A3525"/>
          <w:rFonts w:ascii="Calibri" w:hAnsi="Calibri"/>
        </w:rPr>
        <w:t xml:space="preserve">What the designer builds:</w:t>
      </w:r>
    </w:p>
    <w:p>
      <w:pPr>
        <w:spacing w:after="40"/>
        <w:pBdr>
          <w:left w:val="single" w:sz="24" w:space="8" w:color="E8A020"/>
        </w:pBdr>
        <w:ind w:left="360"/>
        <w:shd w:val="clear" w:fill="FFF8E6"/>
      </w:pPr>
      <w:r>
        <w:rPr>
          <w:sz w:val="16"/>
          <w:szCs w:val="16"/>
          <w:color w:val="4A3525"/>
          <w:rFonts w:ascii="Calibri" w:hAnsi="Calibri"/>
        </w:rPr>
        <w:t xml:space="preserve">A horizontal monsoon timeline — two months (Shravana → Bhadrapada) as a strip, with three markers:</w:t>
      </w:r>
    </w:p>
    <w:p>
      <w:pPr>
        <w:spacing w:after="40"/>
        <w:pBdr>
          <w:left w:val="single" w:sz="24" w:space="8" w:color="E8A020"/>
        </w:pBdr>
        <w:ind w:left="360"/>
        <w:shd w:val="clear" w:fill="FFF8E6"/>
      </w:pPr>
      <w:r>
        <w:rPr>
          <w:sz w:val="12"/>
          <w:szCs w:val="12"/>
          <w:color w:val="4A3525"/>
          <w:rFonts w:ascii="Calibri" w:hAnsi="Calibri"/>
        </w:rPr>
        <w:t xml:space="preserve"/>
      </w:r>
    </w:p>
    <w:p>
      <w:pPr>
        <w:spacing w:after="40"/>
        <w:pBdr>
          <w:left w:val="single" w:sz="24" w:space="8" w:color="E8A020"/>
        </w:pBdr>
        <w:ind w:left="360"/>
        <w:shd w:val="clear" w:fill="FFF8E6"/>
      </w:pPr>
      <w:r>
        <w:rPr>
          <w:sz w:val="16"/>
          <w:szCs w:val="16"/>
          <w:color w:val="4A3525"/>
          <w:rFonts w:ascii="Calibri" w:hAnsi="Calibri"/>
        </w:rPr>
        <w:t xml:space="preserve">① HARIYALI TEEJ (15 Aug)  |  Green marker  |  Icon: a swing (jhula)</w:t>
      </w:r>
    </w:p>
    <w:p>
      <w:pPr>
        <w:spacing w:after="40"/>
        <w:pBdr>
          <w:left w:val="single" w:sz="24" w:space="8" w:color="E8A020"/>
        </w:pBdr>
        <w:ind w:left="360"/>
        <w:shd w:val="clear" w:fill="FFF8E6"/>
      </w:pPr>
      <w:r>
        <w:rPr>
          <w:sz w:val="16"/>
          <w:szCs w:val="16"/>
          <w:color w:val="6B7280"/>
          <w:rFonts w:ascii="Calibri" w:hAnsi="Calibri"/>
        </w:rPr>
        <w:t xml:space="preserve">   Shravana Shukla Tritiya  ·  Moon: waxing crescent  ·  Label: 'The Green Teej'</w:t>
      </w:r>
    </w:p>
    <w:p>
      <w:pPr>
        <w:spacing w:after="40"/>
        <w:pBdr>
          <w:left w:val="single" w:sz="24" w:space="8" w:color="E8A020"/>
        </w:pBdr>
        <w:ind w:left="360"/>
        <w:shd w:val="clear" w:fill="FFF8E6"/>
      </w:pPr>
      <w:r>
        <w:rPr>
          <w:sz w:val="8"/>
          <w:szCs w:val="8"/>
          <w:color w:val="4A3525"/>
          <w:rFonts w:ascii="Calibri" w:hAnsi="Calibri"/>
        </w:rPr>
        <w:t xml:space="preserve"/>
      </w:r>
    </w:p>
    <w:p>
      <w:pPr>
        <w:spacing w:after="40"/>
        <w:pBdr>
          <w:left w:val="single" w:sz="24" w:space="8" w:color="E8A020"/>
        </w:pBdr>
        <w:ind w:left="360"/>
        <w:shd w:val="clear" w:fill="FFF8E6"/>
      </w:pPr>
      <w:r>
        <w:rPr>
          <w:sz w:val="16"/>
          <w:szCs w:val="16"/>
          <w:color w:val="4A3525"/>
          <w:rFonts w:ascii="Calibri" w:hAnsi="Calibri"/>
        </w:rPr>
        <w:t xml:space="preserve">② KAJARI TEEJ (31 Aug)  |  Amber marker  |  Icon: a neem branch</w:t>
      </w:r>
    </w:p>
    <w:p>
      <w:pPr>
        <w:spacing w:after="40"/>
        <w:pBdr>
          <w:left w:val="single" w:sz="24" w:space="8" w:color="E8A020"/>
        </w:pBdr>
        <w:ind w:left="360"/>
        <w:shd w:val="clear" w:fill="FFF8E6"/>
      </w:pPr>
      <w:r>
        <w:rPr>
          <w:sz w:val="16"/>
          <w:szCs w:val="16"/>
          <w:color w:val="6B7280"/>
          <w:rFonts w:ascii="Calibri" w:hAnsi="Calibri"/>
        </w:rPr>
        <w:t xml:space="preserve">   Bhadrapada Krishna Tritiya  ·  Moon: waning crescent  ·  Label: 'The Folk Teej'</w:t>
      </w:r>
    </w:p>
    <w:p>
      <w:pPr>
        <w:spacing w:after="40"/>
        <w:pBdr>
          <w:left w:val="single" w:sz="24" w:space="8" w:color="E8A020"/>
        </w:pBdr>
        <w:ind w:left="360"/>
        <w:shd w:val="clear" w:fill="FFF8E6"/>
      </w:pPr>
      <w:r>
        <w:rPr>
          <w:sz w:val="8"/>
          <w:szCs w:val="8"/>
          <w:color w:val="4A3525"/>
          <w:rFonts w:ascii="Calibri" w:hAnsi="Calibri"/>
        </w:rPr>
        <w:t xml:space="preserve"/>
      </w:r>
    </w:p>
    <w:p>
      <w:pPr>
        <w:spacing w:after="40"/>
        <w:pBdr>
          <w:left w:val="single" w:sz="24" w:space="8" w:color="E8A020"/>
        </w:pBdr>
        <w:ind w:left="360"/>
        <w:shd w:val="clear" w:fill="FFF8E6"/>
      </w:pPr>
      <w:r>
        <w:rPr>
          <w:sz w:val="16"/>
          <w:szCs w:val="16"/>
          <w:color w:val="4A3525"/>
          <w:rFonts w:ascii="Calibri" w:hAnsi="Calibri"/>
        </w:rPr>
        <w:t xml:space="preserve">③ HARTALIKA TEEJ (14 Sep)  |  Rose marker  |  Icon: a sand Shivalinga</w:t>
      </w:r>
    </w:p>
    <w:p>
      <w:pPr>
        <w:spacing w:after="40"/>
        <w:pBdr>
          <w:left w:val="single" w:sz="24" w:space="8" w:color="E8A020"/>
        </w:pBdr>
        <w:ind w:left="360"/>
        <w:shd w:val="clear" w:fill="FFF8E6"/>
      </w:pPr>
      <w:r>
        <w:rPr>
          <w:sz w:val="16"/>
          <w:szCs w:val="16"/>
          <w:color w:val="6B7280"/>
          <w:rFonts w:ascii="Calibri" w:hAnsi="Calibri"/>
        </w:rPr>
        <w:t xml:space="preserve">   Bhadrapada Shukla Tritiya  ·  Moon: waxing crescent  ·  Label: 'The Strictest Teej'</w:t>
      </w:r>
    </w:p>
    <w:p>
      <w:pPr>
        <w:spacing w:after="40"/>
        <w:pBdr>
          <w:left w:val="single" w:sz="24" w:space="8" w:color="E8A020"/>
        </w:pBdr>
        <w:ind w:left="360"/>
        <w:shd w:val="clear" w:fill="FFF8E6"/>
      </w:pPr>
      <w:r>
        <w:rPr>
          <w:sz w:val="12"/>
          <w:szCs w:val="12"/>
          <w:color w:val="4A3525"/>
          <w:rFonts w:ascii="Calibri" w:hAnsi="Calibri"/>
        </w:rPr>
        <w:t xml:space="preserve"/>
      </w:r>
    </w:p>
    <w:p>
      <w:pPr>
        <w:spacing w:after="40"/>
        <w:pBdr>
          <w:left w:val="single" w:sz="24" w:space="8" w:color="E8A020"/>
        </w:pBdr>
        <w:ind w:left="360"/>
        <w:shd w:val="clear" w:fill="FFF8E6"/>
      </w:pPr>
      <w:r>
        <w:rPr>
          <w:sz w:val="16"/>
          <w:szCs w:val="16"/>
          <w:color w:val="4A3525"/>
          <w:rFonts w:ascii="Calibri" w:hAnsi="Calibri"/>
        </w:rPr>
        <w:t xml:space="preserve">Below the timeline strip, show the moon phase for each:</w:t>
      </w:r>
    </w:p>
    <w:p>
      <w:pPr>
        <w:spacing w:after="40"/>
        <w:pBdr>
          <w:left w:val="single" w:sz="24" w:space="8" w:color="E8A020"/>
        </w:pBdr>
        <w:ind w:left="360"/>
        <w:shd w:val="clear" w:fill="FFF8E6"/>
      </w:pPr>
      <w:r>
        <w:rPr>
          <w:sz w:val="16"/>
          <w:szCs w:val="16"/>
          <w:color w:val="4A3525"/>
          <w:rFonts w:ascii="Calibri" w:hAnsi="Calibri"/>
        </w:rPr>
        <w:t xml:space="preserve">Hariyali = waxing (S. Paksha)  |  Kajari = waning (K. Paksha)  |  Hartalika = waxing (S. Paksha)</w:t>
      </w:r>
    </w:p>
    <w:p>
      <w:pPr>
        <w:spacing w:after="40"/>
        <w:pBdr>
          <w:left w:val="single" w:sz="24" w:space="8" w:color="E8A020"/>
        </w:pBdr>
        <w:ind w:left="360"/>
        <w:shd w:val="clear" w:fill="FFF8E6"/>
      </w:pPr>
      <w:r>
        <w:rPr>
          <w:sz w:val="16"/>
          <w:szCs w:val="16"/>
          <w:color w:val="4A3525"/>
          <w:rFonts w:ascii="Calibri" w:hAnsi="Calibri"/>
        </w:rPr>
        <w:t xml:space="preserve">This makes the Paksha difference instantly visible — Kajari is the only one in Krishna Paksha.</w:t>
      </w:r>
    </w:p>
    <w:p>
      <w:pPr>
        <w:spacing w:after="40"/>
        <w:pBdr>
          <w:left w:val="single" w:sz="24" w:space="8" w:color="E8A020"/>
        </w:pBdr>
        <w:ind w:left="360"/>
        <w:shd w:val="clear" w:fill="FFF8E6"/>
      </w:pPr>
      <w:r>
        <w:rPr>
          <w:sz w:val="12"/>
          <w:szCs w:val="12"/>
          <w:color w:val="4A3525"/>
          <w:rFonts w:ascii="Calibri" w:hAnsi="Calibri"/>
        </w:rPr>
        <w:t xml:space="preserve"/>
      </w:r>
    </w:p>
    <w:p>
      <w:pPr>
        <w:spacing w:after="40"/>
        <w:pBdr>
          <w:left w:val="single" w:sz="24" w:space="8" w:color="E8A020"/>
        </w:pBdr>
        <w:ind w:left="360"/>
        <w:shd w:val="clear" w:fill="FFF8E6"/>
      </w:pPr>
      <w:r>
        <w:rPr>
          <w:b/>
          <w:sz w:val="16"/>
          <w:szCs w:val="16"/>
          <w:color w:val="4A3525"/>
          <w:rFonts w:ascii="Calibri" w:hAnsi="Calibri"/>
        </w:rPr>
        <w:t xml:space="preserve">Design notes:</w:t>
      </w:r>
    </w:p>
    <w:p>
      <w:pPr>
        <w:spacing w:after="40"/>
        <w:pBdr>
          <w:left w:val="single" w:sz="24" w:space="8" w:color="E8A020"/>
        </w:pBdr>
        <w:ind w:left="360"/>
        <w:shd w:val="clear" w:fill="FFF8E6"/>
      </w:pPr>
      <w:r>
        <w:rPr>
          <w:sz w:val="16"/>
          <w:szCs w:val="16"/>
          <w:color w:val="6B7280"/>
          <w:rFonts w:ascii="Calibri" w:hAnsi="Calibri"/>
        </w:rPr>
        <w:t xml:space="preserve">• Use Tapa brand colours: green (#27500A) for Hariyali, amber (#E8A020) for Kajari, rose (#EF0F54) for Hartalika.</w:t>
      </w:r>
    </w:p>
    <w:p>
      <w:pPr>
        <w:spacing w:after="40"/>
        <w:pBdr>
          <w:left w:val="single" w:sz="24" w:space="8" w:color="E8A020"/>
        </w:pBdr>
        <w:ind w:left="360"/>
        <w:shd w:val="clear" w:fill="FFF8E6"/>
      </w:pPr>
      <w:r>
        <w:rPr>
          <w:sz w:val="16"/>
          <w:szCs w:val="16"/>
          <w:color w:val="6B7280"/>
          <w:rFonts w:ascii="Calibri" w:hAnsi="Calibri"/>
        </w:rPr>
        <w:t xml:space="preserve">• Show small moon phase icons (crescent) next to each marker — waxing for Hariyali and Hartalika, waning for Kajari.</w:t>
      </w:r>
    </w:p>
    <w:p>
      <w:pPr>
        <w:spacing w:after="40"/>
        <w:pBdr>
          <w:left w:val="single" w:sz="24" w:space="8" w:color="E8A020"/>
        </w:pBdr>
        <w:ind w:left="360"/>
        <w:shd w:val="clear" w:fill="FFF8E6"/>
      </w:pPr>
      <w:r>
        <w:rPr>
          <w:sz w:val="16"/>
          <w:szCs w:val="16"/>
          <w:color w:val="6B7280"/>
          <w:rFonts w:ascii="Calibri" w:hAnsi="Calibri"/>
        </w:rPr>
        <w:t xml:space="preserve">• The timeline strip background: cream (#F2EDE4). Month labels in gold (#A07800).</w:t>
      </w:r>
    </w:p>
    <w:p>
      <w:pPr>
        <w:spacing w:after="40"/>
        <w:pBdr>
          <w:left w:val="single" w:sz="24" w:space="8" w:color="E8A020"/>
        </w:pBdr>
        <w:ind w:left="360"/>
        <w:shd w:val="clear" w:fill="FFF8E6"/>
      </w:pPr>
      <w:r>
        <w:rPr>
          <w:sz w:val="16"/>
          <w:szCs w:val="16"/>
          <w:color w:val="6B7280"/>
          <w:rFonts w:ascii="Calibri" w:hAnsi="Calibri"/>
        </w:rPr>
        <w:t xml:space="preserve">• One distinctive icon per Teej: jhula (swing) for Hariyali, neem branch for Kajari, sand Shivalinga for Hartalika.</w:t>
      </w:r>
    </w:p>
    <w:p>
      <w:pPr>
        <w:spacing w:after="40"/>
        <w:pBdr>
          <w:left w:val="single" w:sz="24" w:space="8" w:color="E8A020"/>
        </w:pBdr>
        <w:ind w:left="360"/>
        <w:shd w:val="clear" w:fill="FFF8E6"/>
      </w:pPr>
      <w:r>
        <w:rPr>
          <w:sz w:val="16"/>
          <w:szCs w:val="16"/>
          <w:color w:val="6B7280"/>
          <w:rFonts w:ascii="Calibri" w:hAnsi="Calibri"/>
        </w:rPr>
        <w:t xml:space="preserve">• Keep it minimal. The user glances at this ONCE and immediately understands: different months, different moons, different practices.</w:t>
      </w:r>
    </w:p>
    <w:p>
      <w:pPr>
        <w:spacing w:after="40"/>
        <w:pBdr>
          <w:left w:val="single" w:sz="24" w:space="8" w:color="E8A020"/>
        </w:pBdr>
        <w:ind w:left="360"/>
        <w:shd w:val="clear" w:fill="FFF8E6"/>
      </w:pPr>
      <w:r>
        <w:rPr>
          <w:sz w:val="12"/>
          <w:szCs w:val="12"/>
          <w:color w:val="4A3525"/>
          <w:rFonts w:ascii="Calibri" w:hAnsi="Calibri"/>
        </w:rPr>
        <w:t xml:space="preserve"/>
      </w:r>
    </w:p>
    <w:p>
      <w:pPr>
        <w:spacing w:after="40"/>
        <w:pBdr>
          <w:left w:val="single" w:sz="24" w:space="8" w:color="E8A020"/>
        </w:pBdr>
        <w:ind w:left="360"/>
        <w:shd w:val="clear" w:fill="FFF8E6"/>
      </w:pPr>
      <w:r>
        <w:rPr>
          <w:i/>
          <w:sz w:val="16"/>
          <w:szCs w:val="16"/>
          <w:color w:val="4A3525"/>
          <w:rFonts w:ascii="Calibri" w:hAnsi="Calibri"/>
        </w:rPr>
        <w:t xml:space="preserve">Caption: "Three Teejs, three months, three moons. The calendar is the simplest way to tell them apart."</w:t>
      </w:r>
    </w:p>
    <w:p>
      <w:pPr>
        <w:spacing w:after="40"/>
        <w:pBdr>
          <w:left w:val="single" w:sz="24" w:space="8" w:color="E8A020"/>
        </w:pBdr>
        <w:ind w:left="360"/>
        <w:shd w:val="clear" w:fill="FFF8E6"/>
      </w:pPr>
      <w:r>
        <w:rPr>
          <w:b/>
          <w:sz w:val="16"/>
          <w:szCs w:val="16"/>
          <w:color w:val="A07800"/>
          <w:rFonts w:ascii="Calibri" w:hAnsi="Calibri"/>
        </w:rPr>
        <w:t xml:space="preserve">REUSABLE — this timeline can anchor any future 'comparison' article format.</w:t>
      </w:r>
    </w:p>
    <w:p>
      <w:pPr>
        <w:pStyle w:val="Heading2"/>
        <w:spacing w:after="120" w:before="240"/>
      </w:pPr>
      <w:r>
        <w:rPr>
          <w:rFonts w:ascii="Calibri" w:cs="Calibri" w:eastAsia="Calibri" w:hAnsi="Calibri"/>
          <w:b/>
          <w:bCs/>
          <w:color w:val="4A3525"/>
          <w:sz w:val="26"/>
          <w:szCs w:val="26"/>
        </w:rPr>
        <w:t xml:space="preserve">The Comparison Table</w:t>
      </w:r>
    </w:p>
    <w:p>
      <w:pPr>
        <w:shd w:fill="F0EDE8" w:val="clear"/>
        <w:spacing w:after="60" w:before="60"/>
      </w:pPr>
      <w:r>
        <w:rPr>
          <w:rFonts w:ascii="Calibri" w:cs="Calibri" w:eastAsia="Calibri" w:hAnsi="Calibri"/>
          <w:i/>
          <w:iCs/>
          <w:color w:val="888888"/>
          <w:sz w:val="17"/>
          <w:szCs w:val="17"/>
        </w:rPr>
        <w:t xml:space="preserve">  ↳ 12 comparison rows. Column headers: three Teej names. Each row is a dimension of comparison. Data must match individual articles exactly. Mobile: table scrolls horizontally.</w:t>
      </w:r>
    </w:p>
    <w:p>
      <w:pPr>
        <w:spacing w:after="60"/>
      </w:pPr>
      <w:r>
        <w:rPr>
          <w:sz w:val="20"/>
          <w:szCs w:val="20"/>
        </w:rPr>
        <w:t xml:space="preserve"/>
      </w:r>
    </w:p>
    <w:tbl>
      <w:tblPr>
        <w:tblW w:type="dxa" w:w="10080"/>
        <w:tblBorders>
          <w:top w:val="single" w:color="D0C8BC" w:sz="4"/>
          <w:left w:val="single" w:color="D0C8BC" w:sz="4"/>
          <w:bottom w:val="single" w:color="D0C8BC" w:sz="4"/>
          <w:right w:val="single" w:color="D0C8BC" w:sz="4"/>
          <w:insideH w:val="single" w:color="auto" w:sz="4"/>
          <w:insideV w:val="single" w:color="auto" w:sz="4"/>
        </w:tblBorders>
      </w:tblPr>
      <w:tblGrid>
        <w:gridCol w:w="2000"/>
        <w:gridCol w:w="2693"/>
        <w:gridCol w:w="2694"/>
        <w:gridCol w:w="2693"/>
      </w:tblGrid>
      <w:tr>
        <w:tc>
          <w:tcPr>
            <w:tcW w:type="dxa" w:w="2000"/>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19"/>
                <w:szCs w:val="19"/>
              </w:rPr>
              <w:t xml:space="preserve"/>
            </w:r>
          </w:p>
        </w:tc>
        <w:tc>
          <w:tcPr>
            <w:tcW w:type="dxa" w:w="2693"/>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Hariyali Teej</w:t>
            </w:r>
          </w:p>
        </w:tc>
        <w:tc>
          <w:tcPr>
            <w:tcW w:type="dxa" w:w="2694"/>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Kajari Teej</w:t>
            </w:r>
          </w:p>
        </w:tc>
        <w:tc>
          <w:tcPr>
            <w:tcW w:type="dxa" w:w="2693"/>
            <w:tcBorders>
              <w:top w:val="single" w:color="D0C8BC" w:sz="4"/>
              <w:left w:val="single" w:color="D0C8BC" w:sz="4"/>
              <w:bottom w:val="single" w:color="D0C8BC" w:sz="4"/>
              <w:right w:val="single" w:color="D0C8BC" w:sz="4"/>
            </w:tcBorders>
            <w:shd w:fill="4A352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19"/>
                <w:szCs w:val="19"/>
              </w:rPr>
              <w:t xml:space="preserve">Hartalika Teej</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Also called</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19"/>
                <w:szCs w:val="19"/>
              </w:rPr>
              <w:t xml:space="preserve">Chhoti Teej / Sindhara Teej / Shravani Teej</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19"/>
                <w:szCs w:val="19"/>
              </w:rPr>
              <w:t xml:space="preserve">Badi Teej / Kajali Teej / Satudi Teej / Budhi Teej</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19"/>
                <w:szCs w:val="19"/>
              </w:rPr>
              <w:t xml:space="preserve">Hartalika Teej</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Month</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Shravana</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Bhadrapada</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Bhadrapada</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Paksha</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Shukla (waxing moon)</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Krishna (waning moon)</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Shukla (waxing moon)</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Tithi</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Tritiya (3rd day)</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Tritiya (3rd day)</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Tritiya (3rd day)</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2026 date</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bCs/>
                <w:i w:val="false"/>
                <w:iCs w:val="false"/>
                <w:sz w:val="20"/>
                <w:szCs w:val="20"/>
              </w:rPr>
              <w:t xml:space="preserve">15 August (Saturday)</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bCs/>
                <w:i w:val="false"/>
                <w:iCs w:val="false"/>
                <w:sz w:val="20"/>
                <w:szCs w:val="20"/>
              </w:rPr>
              <w:t xml:space="preserve">31 August (Monday)</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bCs/>
                <w:i w:val="false"/>
                <w:iCs w:val="false"/>
                <w:sz w:val="20"/>
                <w:szCs w:val="20"/>
              </w:rPr>
              <w:t xml:space="preserve">14 September (Monday)</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Founding source</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Shiva Purana (Rudra Samhita / Parvati Khanda)</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Folk tradition / oral — Bhojpuri belt. No named Puranic text.</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Shiva Purana — the Hartalika (abduction by female friend) episode</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Name origin</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Hariyali = greenery (the monsoon's arrival)</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Kajri = a genre of monsoon folk songs from the Bhojpuri belt</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Hartalika = haran (abduction) + aalika (female friend)</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Distinctive practice</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Green attire, jhula (swing), sinjara gifts from natal family</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Neemdi Mata worship, clay kund with neem branch, sattu offering, kajri folk songs</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24-hour nirjala fast, sand idols of Shiva-Parvati, night jagaran</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Fast break</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At moonrise OR next morning — varies by family tradition</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At moonrise — after moon arghya. Same evening.</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Next morning at dawn — strict 24-hour nirjala form</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Classification</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27500A"/>
                <w:sz w:val="20"/>
                <w:szCs w:val="20"/>
              </w:rPr>
              <w:t xml:space="preserve">DHARMA 4/5</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A07800"/>
                <w:sz w:val="20"/>
                <w:szCs w:val="20"/>
              </w:rPr>
              <w:t xml:space="preserve">MIXED 3/5</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27500A"/>
                <w:sz w:val="20"/>
                <w:szCs w:val="20"/>
              </w:rPr>
              <w:t xml:space="preserve">DHARMA 4/5</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Primary region</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Rajasthan, UP, Bihar, Haryana, MP</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UP, Bihar, Jharkhand (Bhojpuri belt), Rajasthan (Bundi)</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UP, Bihar, Jharkhand, MP, Maharashtra</w:t>
            </w:r>
          </w:p>
        </w:tc>
      </w:tr>
      <w:tr>
        <w:tc>
          <w:tcPr>
            <w:tcW w:type="dxa" w:w="2000"/>
            <w:tcBorders>
              <w:top w:val="single" w:color="D0C8BC" w:sz="4"/>
              <w:left w:val="single" w:color="D0C8BC" w:sz="4"/>
              <w:bottom w:val="single" w:color="D0C8BC" w:sz="4"/>
              <w:right w:val="single" w:color="D0C8BC" w:sz="4"/>
            </w:tcBorders>
            <w:shd w:fill="F5F1E8" w:val="clear"/>
            <w:tcMar>
              <w:top w:type="dxa" w:w="100"/>
              <w:left w:type="dxa" w:w="140"/>
              <w:bottom w:type="dxa" w:w="100"/>
              <w:right w:type="dxa" w:w="140"/>
            </w:tcMar>
            <w:vAlign w:val="center"/>
          </w:tcPr>
          <w:p>
            <w:pPr>
              <w:jc w:val="left"/>
            </w:pPr>
            <w:r>
              <w:rPr>
                <w:rFonts w:ascii="Calibri" w:cs="Calibri" w:eastAsia="Calibri" w:hAnsi="Calibri"/>
                <w:b/>
                <w:bCs/>
                <w:i w:val="false"/>
                <w:iCs w:val="false"/>
                <w:sz w:val="20"/>
                <w:szCs w:val="20"/>
              </w:rPr>
              <w:t xml:space="preserve">Relative strictness</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Moderate — fasting form varies</w:t>
            </w:r>
          </w:p>
        </w:tc>
        <w:tc>
          <w:tcPr>
            <w:tcW w:type="dxa" w:w="2694"/>
            <w:tcBorders>
              <w:top w:val="single" w:color="D0C8BC" w:sz="4"/>
              <w:left w:val="single" w:color="D0C8BC" w:sz="4"/>
              <w:bottom w:val="single" w:color="D0C8BC" w:sz="4"/>
              <w:right w:val="single" w:color="D0C8BC" w:sz="4"/>
            </w:tcBorders>
            <w:shd w:fill="FFF8E6"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Moderate to strict</w:t>
            </w:r>
          </w:p>
        </w:tc>
        <w:tc>
          <w:tcPr>
            <w:tcW w:type="dxa" w:w="2693"/>
            <w:tcBorders>
              <w:top w:val="single" w:color="D0C8BC" w:sz="4"/>
              <w:left w:val="single" w:color="D0C8BC" w:sz="4"/>
              <w:bottom w:val="single" w:color="D0C8BC" w:sz="4"/>
              <w:right w:val="single" w:color="D0C8BC"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sz w:val="20"/>
                <w:szCs w:val="20"/>
              </w:rPr>
              <w:t xml:space="preserve">Strictest — 24-hour nirjala is most observed form</w:t>
            </w:r>
          </w:p>
        </w:tc>
      </w:tr>
    </w:tbl>
    <w:p>
      <w:pPr>
        <w:spacing w:after="80"/>
      </w:pPr>
      <w:r>
        <w:rPr>
          <w:sz w:val="20"/>
          <w:szCs w:val="20"/>
        </w:rPr>
        <w:t xml:space="preserve"/>
      </w:r>
    </w:p>
    <w:p>
      <w:pPr>
        <w:pBdr>
          <w:bottom w:val="single" w:color="EDE6D4" w:sz="6"/>
        </w:pBdr>
        <w:spacing w:after="180" w:before="180"/>
      </w:pPr>
      <w:r>
        <w:rPr>
          <w:sz w:val="4"/>
          <w:szCs w:val="4"/>
        </w:rPr>
        <w:t xml:space="preserve"/>
      </w:r>
    </w:p>
    <w:p>
      <w:pPr>
        <w:pStyle w:val="Heading2"/>
        <w:spacing w:after="120" w:before="240"/>
      </w:pPr>
      <w:r>
        <w:rPr>
          <w:rFonts w:ascii="Calibri" w:cs="Calibri" w:eastAsia="Calibri" w:hAnsi="Calibri"/>
          <w:b/>
          <w:bCs/>
          <w:color w:val="4A3525"/>
          <w:sz w:val="26"/>
          <w:szCs w:val="26"/>
        </w:rPr>
        <w:t xml:space="preserve">Three Confusion-Resolution Boxes</w:t>
      </w:r>
    </w:p>
    <w:p>
      <w:pPr>
        <w:shd w:fill="F0EDE8" w:val="clear"/>
        <w:spacing w:after="60" w:before="60"/>
      </w:pPr>
      <w:r>
        <w:rPr>
          <w:rFonts w:ascii="Calibri" w:cs="Calibri" w:eastAsia="Calibri" w:hAnsi="Calibri"/>
          <w:i/>
          <w:iCs/>
          <w:color w:val="888888"/>
          <w:sz w:val="17"/>
          <w:szCs w:val="17"/>
        </w:rPr>
        <w:t xml:space="preserve">  ↳ Each box addresses one major recurring confusion. Short, direct. Not dismissive of either tradition — the goal is clarity, not ranking.</w:t>
      </w:r>
    </w:p>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C8BC" w:sz="4"/>
              <w:left w:val="single" w:color="D0C8BC" w:sz="4"/>
              <w:bottom w:val="single" w:color="D0C8BC" w:sz="4"/>
              <w:right w:val="single" w:color="D0C8BC" w:sz="4"/>
            </w:tcBorders>
            <w:shd w:fill="EDF7ED" w:val="clear"/>
            <w:tcMar>
              <w:top w:type="dxa" w:w="140"/>
              <w:left w:type="dxa" w:w="200"/>
              <w:bottom w:type="dxa" w:w="140"/>
              <w:right w:type="dxa" w:w="200"/>
            </w:tcMar>
          </w:tcPr>
          <w:p>
            <w:pPr>
              <w:spacing w:after="80"/>
            </w:pPr>
            <w:r>
              <w:rPr>
                <w:rFonts w:ascii="Calibri" w:cs="Calibri" w:eastAsia="Calibri" w:hAnsi="Calibri"/>
                <w:b/>
                <w:bCs/>
                <w:color w:val="1A4D2E"/>
                <w:sz w:val="22"/>
                <w:szCs w:val="22"/>
              </w:rPr>
              <w:t xml:space="preserve">Confusion 1  |  'Is Hariyali Teej the same as Kajari Teej?'</w:t>
            </w:r>
          </w:p>
          <w:p>
            <w:r>
              <w:rPr>
                <w:rFonts w:ascii="Calibri" w:cs="Calibri" w:eastAsia="Calibri" w:hAnsi="Calibri"/>
                <w:color w:val="4A3525"/>
                <w:sz w:val="20"/>
                <w:szCs w:val="20"/>
              </w:rPr>
              <w:t xml:space="preserve">No. They share the same structure (saubhagya vrat, Shiva-Parvati worship) but are on different tithis in different months. Hariyali Teej is Shravana Shukla Tritiya (waxing moon, monsoon arrival). Kajari Teej is Bhadrapada Krishna Tritiya (waning moon, deeper monsoon). Their distinctive practices are completely different: Hariyali Teej = green attire, jhula, sinjara. Kajari Teej = neem branch, sattu, kajri songs. If you are in North India, Hariyali Teej is called Chhoti Teej (small) and Kajari Teej is called Badi Teej (big).</w:t>
            </w:r>
          </w:p>
        </w:tc>
      </w:tr>
    </w:tbl>
    <w:p>
      <w:pPr>
        <w:spacing w:after="8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C8BC" w:sz="4"/>
              <w:left w:val="single" w:color="D0C8BC" w:sz="4"/>
              <w:bottom w:val="single" w:color="D0C8BC" w:sz="4"/>
              <w:right w:val="single" w:color="D0C8BC" w:sz="4"/>
            </w:tcBorders>
            <w:shd w:fill="EDF7ED" w:val="clear"/>
            <w:tcMar>
              <w:top w:type="dxa" w:w="140"/>
              <w:left w:type="dxa" w:w="200"/>
              <w:bottom w:type="dxa" w:w="140"/>
              <w:right w:type="dxa" w:w="200"/>
            </w:tcMar>
          </w:tcPr>
          <w:p>
            <w:pPr>
              <w:spacing w:after="80"/>
            </w:pPr>
            <w:r>
              <w:rPr>
                <w:rFonts w:ascii="Calibri" w:cs="Calibri" w:eastAsia="Calibri" w:hAnsi="Calibri"/>
                <w:b/>
                <w:bCs/>
                <w:color w:val="1A4D2E"/>
                <w:sz w:val="22"/>
                <w:szCs w:val="22"/>
              </w:rPr>
              <w:t xml:space="preserve">Confusion 2  |  'Is Kajari Teej the same as Hartalika Teej?'</w:t>
            </w:r>
          </w:p>
          <w:p>
            <w:r>
              <w:rPr>
                <w:rFonts w:ascii="Calibri" w:cs="Calibri" w:eastAsia="Calibri" w:hAnsi="Calibri"/>
                <w:color w:val="4A3525"/>
                <w:sz w:val="20"/>
                <w:szCs w:val="20"/>
              </w:rPr>
              <w:t xml:space="preserve">No. Both are in Bhadrapada but they are two weeks apart and in different pakshas. Kajari Teej is in the Krishna Paksha (waning moon) on the 3rd; the fast breaks the same evening at moonrise. Hartalika Teej is in the Shukla Paksha (waxing moon) on the 3rd; the fast is 24 hours and breaks the next morning. Hartalika takes its name from a specific Puranic episode (the friend who abducted Parvati to help her complete her tapasya). Kajari takes its name from a folk song genre. They are distinct in origin, strictness, and practice.</w:t>
            </w:r>
          </w:p>
        </w:tc>
      </w:tr>
    </w:tbl>
    <w:p>
      <w:pPr>
        <w:spacing w:after="8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C8BC" w:sz="4"/>
              <w:left w:val="single" w:color="D0C8BC" w:sz="4"/>
              <w:bottom w:val="single" w:color="D0C8BC" w:sz="4"/>
              <w:right w:val="single" w:color="D0C8BC" w:sz="4"/>
            </w:tcBorders>
            <w:shd w:fill="EDF7ED" w:val="clear"/>
            <w:tcMar>
              <w:top w:type="dxa" w:w="140"/>
              <w:left w:type="dxa" w:w="200"/>
              <w:bottom w:type="dxa" w:w="140"/>
              <w:right w:type="dxa" w:w="200"/>
            </w:tcMar>
          </w:tcPr>
          <w:p>
            <w:pPr>
              <w:spacing w:after="80"/>
            </w:pPr>
            <w:r>
              <w:rPr>
                <w:rFonts w:ascii="Calibri" w:cs="Calibri" w:eastAsia="Calibri" w:hAnsi="Calibri"/>
                <w:b/>
                <w:bCs/>
                <w:color w:val="1A4D2E"/>
                <w:sz w:val="22"/>
                <w:szCs w:val="22"/>
              </w:rPr>
              <w:t xml:space="preserve">Confusion 3  |  'Which Teej is the most important?'</w:t>
            </w:r>
          </w:p>
          <w:p>
            <w:r>
              <w:rPr>
                <w:rFonts w:ascii="Calibri" w:cs="Calibri" w:eastAsia="Calibri" w:hAnsi="Calibri"/>
                <w:color w:val="4A3525"/>
                <w:sz w:val="20"/>
                <w:szCs w:val="20"/>
              </w:rPr>
              <w:t xml:space="preserve">This depends entirely on your region. In Rajasthan, Kajari Teej (Badi Teej) is the major observance — the Bundi Kajali Teej Mela is one of the largest Teej celebrations in India. In the Bhojpuri belt (UP, Bihar, Jharkhand), all three are observed but Hartalika Teej carries particular weight. In Madhya Pradesh, Hartalika Teej and Kajari Teej are both prominent. No scripture ranks them against each other. Follow your regional and family tradition — the devotion, not the comparative standing, is what the festivals are asking for.</w:t>
            </w:r>
          </w:p>
        </w:tc>
      </w:tr>
    </w:tbl>
    <w:p>
      <w:pPr>
        <w:pBdr>
          <w:bottom w:val="single" w:color="EDE6D4" w:sz="6"/>
        </w:pBdr>
        <w:spacing w:after="180" w:before="180"/>
      </w:pPr>
      <w:r>
        <w:rPr>
          <w:sz w:val="4"/>
          <w:szCs w:val="4"/>
        </w:rPr>
        <w:t xml:space="preserve"/>
      </w:r>
    </w:p>
    <w:p>
      <w:pPr>
        <w:pStyle w:val="Heading2"/>
        <w:spacing w:after="120" w:before="240"/>
      </w:pPr>
      <w:r>
        <w:rPr>
          <w:rFonts w:ascii="Calibri" w:cs="Calibri" w:eastAsia="Calibri" w:hAnsi="Calibri"/>
          <w:b/>
          <w:bCs/>
          <w:color w:val="4A3525"/>
          <w:sz w:val="26"/>
          <w:szCs w:val="26"/>
        </w:rPr>
        <w:t xml:space="preserve">Links to Full Articles</w:t>
      </w:r>
    </w:p>
    <w:p>
      <w:pPr>
        <w:spacing w:after="100"/>
      </w:pPr>
      <w:r>
        <w:rPr>
          <w:sz w:val="12"/>
          <w:szCs w:val="12"/>
          <w:color w:val="D0C8BC"/>
          <w:rFonts w:ascii="Calibri" w:hAnsi="Calibri"/>
        </w:rPr>
        <w:t xml:space="preserve">───────────────────────────────────────────────────────────────────────────</w:t>
      </w:r>
    </w:p>
    <w:p>
      <w:pPr>
        <w:spacing w:after="100"/>
      </w:pPr>
      <w:r>
        <w:rPr>
          <w:b/>
          <w:sz w:val="24"/>
          <w:szCs w:val="24"/>
          <w:color w:val="A07800"/>
          <w:rFonts w:ascii="Calibri" w:hAnsi="Calibri"/>
        </w:rPr>
        <w:t xml:space="preserve">Dharma vs Pratha — Across All Three Teejs</w:t>
      </w:r>
    </w:p>
    <w:p>
      <w:pPr>
        <w:spacing w:after="100"/>
      </w:pPr>
      <w:r>
        <w:rPr>
          <w:b/>
          <w:i/>
          <w:sz w:val="16"/>
          <w:szCs w:val="16"/>
          <w:color w:val="6B7280"/>
          <w:rFonts w:ascii="Calibri" w:hAnsi="Calibri"/>
        </w:rPr>
        <w:t xml:space="preserve">  ↳ The three Teejs share a common structure (saubhagya vrat, Shiva-Parvati worship) but differ in their Dharma/Pratha balance.</w:t>
      </w:r>
    </w:p>
    <w:p>
      <w:pPr>
        <w:spacing w:after="100"/>
      </w:pPr>
      <w:r>
        <w:rPr>
          <w:sz w:val="20"/>
          <w:szCs w:val="20"/>
          <w:color w:val="4A3525"/>
          <w:rFonts w:ascii="Calibri" w:hAnsi="Calibri"/>
        </w:rPr>
        <w:t xml:space="preserve"/>
      </w:r>
    </w:p>
    <w:p>
      <w:pPr>
        <w:spacing w:after="100"/>
      </w:pPr>
      <w:r>
        <w:rPr>
          <w:b/>
          <w:sz w:val="20"/>
          <w:szCs w:val="20"/>
          <w:color w:val="27500A"/>
          <w:rFonts w:ascii="Calibri" w:hAnsi="Calibri"/>
        </w:rPr>
        <w:t xml:space="preserve">HARIYALI TEEJ — DHARMA 4/5</w:t>
      </w:r>
    </w:p>
    <w:p>
      <w:pPr>
        <w:spacing w:after="100"/>
      </w:pPr>
      <w:r>
        <w:rPr>
          <w:sz w:val="18"/>
          <w:szCs w:val="18"/>
          <w:color w:val="4A3525"/>
          <w:rFonts w:ascii="Calibri" w:hAnsi="Calibri"/>
        </w:rPr>
        <w:t xml:space="preserve">Dharma: Fasting on Shravana Shukla Tritiya, Shiva-Parvati worship, Vrat Katha recitation — all from Shiva Purana.</w:t>
      </w:r>
    </w:p>
    <w:p>
      <w:pPr>
        <w:spacing w:after="100"/>
      </w:pPr>
      <w:r>
        <w:rPr>
          <w:sz w:val="18"/>
          <w:szCs w:val="18"/>
          <w:color w:val="4A3525"/>
          <w:rFonts w:ascii="Calibri" w:hAnsi="Calibri"/>
        </w:rPr>
        <w:t xml:space="preserve">Pratha: Green attire, jhula (swing), mehndi, sinjara gifts from natal family — cultural, not textual.</w:t>
      </w:r>
    </w:p>
    <w:p>
      <w:pPr>
        <w:spacing w:after="100"/>
      </w:pPr>
      <w:r>
        <w:rPr>
          <w:sz w:val="20"/>
          <w:szCs w:val="20"/>
          <w:color w:val="4A3525"/>
          <w:rFonts w:ascii="Calibri" w:hAnsi="Calibri"/>
        </w:rPr>
        <w:t xml:space="preserve"/>
      </w:r>
    </w:p>
    <w:p>
      <w:pPr>
        <w:spacing w:after="100"/>
      </w:pPr>
      <w:r>
        <w:rPr>
          <w:b/>
          <w:sz w:val="20"/>
          <w:szCs w:val="20"/>
          <w:color w:val="A07800"/>
          <w:rFonts w:ascii="Calibri" w:hAnsi="Calibri"/>
        </w:rPr>
        <w:t xml:space="preserve">KAJARI TEEJ — MIXED 3/5</w:t>
      </w:r>
    </w:p>
    <w:p>
      <w:pPr>
        <w:spacing w:after="100"/>
      </w:pPr>
      <w:r>
        <w:rPr>
          <w:sz w:val="18"/>
          <w:szCs w:val="18"/>
          <w:color w:val="4A3525"/>
          <w:rFonts w:ascii="Calibri" w:hAnsi="Calibri"/>
        </w:rPr>
        <w:t xml:space="preserve">Dharma: Fasting and Shiva-Parvati worship on Bhadrapada Krishna Tritiya — standard vrat protocol.</w:t>
      </w:r>
    </w:p>
    <w:p>
      <w:pPr>
        <w:spacing w:after="100"/>
      </w:pPr>
      <w:r>
        <w:rPr>
          <w:sz w:val="18"/>
          <w:szCs w:val="18"/>
          <w:color w:val="4A3525"/>
          <w:rFonts w:ascii="Calibri" w:hAnsi="Calibri"/>
        </w:rPr>
        <w:t xml:space="preserve">Pratha: Neemdi Mata worship, sattu offering, kajri folk songs, neem branch in clay kund, moonrise fast-break — all folk tradition from the Bhojpuri belt. No founding Puranic narrative.</w:t>
      </w:r>
    </w:p>
    <w:p>
      <w:pPr>
        <w:spacing w:after="100"/>
      </w:pPr>
      <w:r>
        <w:rPr>
          <w:sz w:val="20"/>
          <w:szCs w:val="20"/>
          <w:color w:val="4A3525"/>
          <w:rFonts w:ascii="Calibri" w:hAnsi="Calibri"/>
        </w:rPr>
        <w:t xml:space="preserve"/>
      </w:r>
    </w:p>
    <w:p>
      <w:pPr>
        <w:spacing w:after="100"/>
      </w:pPr>
      <w:r>
        <w:rPr>
          <w:b/>
          <w:sz w:val="20"/>
          <w:szCs w:val="20"/>
          <w:color w:val="27500A"/>
          <w:rFonts w:ascii="Calibri" w:hAnsi="Calibri"/>
        </w:rPr>
        <w:t xml:space="preserve">HARTALIKA TEEJ — DHARMA 4/5</w:t>
      </w:r>
    </w:p>
    <w:p>
      <w:pPr>
        <w:spacing w:after="100"/>
      </w:pPr>
      <w:r>
        <w:rPr>
          <w:sz w:val="18"/>
          <w:szCs w:val="18"/>
          <w:color w:val="4A3525"/>
          <w:rFonts w:ascii="Calibri" w:hAnsi="Calibri"/>
        </w:rPr>
        <w:t xml:space="preserve">Dharma: Fasting on Bhadrapada Shukla Tritiya, sand idol-making, katha recitation — Shiva Purana (Hartalika episode, specific named event).</w:t>
      </w:r>
    </w:p>
    <w:p>
      <w:pPr>
        <w:spacing w:after="100"/>
      </w:pPr>
      <w:r>
        <w:rPr>
          <w:sz w:val="18"/>
          <w:szCs w:val="18"/>
          <w:color w:val="4A3525"/>
          <w:rFonts w:ascii="Calibri" w:hAnsi="Calibri"/>
        </w:rPr>
        <w:t xml:space="preserve">Pratha: Nirjala as the dominant (not mandated) form, solah shringar, green/red attire, all-night jagaran — cultural practice, not textual mandate.</w:t>
      </w:r>
    </w:p>
    <w:p>
      <w:pPr>
        <w:spacing w:after="100"/>
      </w:pPr>
      <w:r>
        <w:rPr>
          <w:sz w:val="20"/>
          <w:szCs w:val="20"/>
          <w:color w:val="4A3525"/>
          <w:rFonts w:ascii="Calibri" w:hAnsi="Calibri"/>
        </w:rPr>
        <w:t xml:space="preserve"/>
      </w:r>
    </w:p>
    <w:p>
      <w:pPr>
        <w:spacing w:after="100"/>
      </w:pPr>
      <w:r>
        <w:rPr>
          <w:sz w:val="12"/>
          <w:szCs w:val="12"/>
          <w:color w:val="D0C8BC"/>
          <w:rFonts w:ascii="Calibri" w:hAnsi="Calibri"/>
        </w:rPr>
        <w:t xml:space="preserve">───────────────────────────────────────────────────────────────────────────</w:t>
      </w:r>
    </w:p>
    <w:p>
      <w:pPr>
        <w:spacing w:after="100"/>
      </w:pPr>
      <w:r>
        <w:rPr>
          <w:b/>
          <w:sz w:val="24"/>
          <w:szCs w:val="24"/>
          <w:color w:val="EF0F54"/>
          <w:rFonts w:ascii="Calibri" w:hAnsi="Calibri"/>
        </w:rPr>
        <w:t xml:space="preserve">Myths &amp; Facts</w:t>
      </w:r>
    </w:p>
    <w:p>
      <w:pPr>
        <w:spacing w:after="100"/>
      </w:pPr>
      <w:r>
        <w:rPr>
          <w:b/>
          <w:i/>
          <w:sz w:val="16"/>
          <w:szCs w:val="16"/>
          <w:color w:val="6B7280"/>
          <w:rFonts w:ascii="Calibri" w:hAnsi="Calibri"/>
        </w:rPr>
        <w:t xml:space="preserve">  ↳ Bhranti corrections specific to the Teej comparison — the confusions that arise from mixing them up.</w:t>
      </w:r>
    </w:p>
    <w:p>
      <w:pPr>
        <w:spacing w:after="100"/>
      </w:pPr>
      <w:r>
        <w:rPr>
          <w:sz w:val="20"/>
          <w:szCs w:val="20"/>
          <w:color w:val="4A3525"/>
          <w:rFonts w:ascii="Calibri" w:hAnsi="Calibri"/>
        </w:rPr>
        <w:t xml:space="preserve"/>
      </w:r>
    </w:p>
    <w:p>
      <w:pPr>
        <w:spacing w:after="100"/>
      </w:pPr>
      <w:r>
        <w:rPr>
          <w:b/>
          <w:sz w:val="18"/>
          <w:szCs w:val="18"/>
          <w:color w:val="EF0F54"/>
          <w:rFonts w:ascii="Calibri" w:hAnsi="Calibri"/>
        </w:rPr>
        <w:t xml:space="preserve">✕  "All three Teejs are the same festival observed in different regions."</w:t>
      </w:r>
    </w:p>
    <w:p>
      <w:pPr>
        <w:spacing w:after="100"/>
      </w:pPr>
      <w:r>
        <w:rPr>
          <w:sz w:val="18"/>
          <w:szCs w:val="18"/>
          <w:color w:val="4A3525"/>
          <w:rFonts w:ascii="Calibri" w:hAnsi="Calibri"/>
        </w:rPr>
        <w:t xml:space="preserve">✓  They are three distinct festivals. Different tithi (Shukla Tritiya in Shravana, Krishna Tritiya in Bhadrapada, Shukla Tritiya in Bhadrapada). Different month. Different Paksha. Different founding narrative (or no founding narrative for Kajari). Different fast-break condition (moonrise, moonrise, next morning). Different name etymology. The name 'Teej' (third) refers to the Tritiya tithi — they share the tithi number but nothing else.</w:t>
      </w:r>
    </w:p>
    <w:p>
      <w:pPr>
        <w:spacing w:after="100"/>
      </w:pPr>
      <w:r>
        <w:rPr>
          <w:sz w:val="20"/>
          <w:szCs w:val="20"/>
          <w:color w:val="4A3525"/>
          <w:rFonts w:ascii="Calibri" w:hAnsi="Calibri"/>
        </w:rPr>
        <w:t xml:space="preserve"/>
      </w:r>
    </w:p>
    <w:p>
      <w:pPr>
        <w:spacing w:after="100"/>
      </w:pPr>
      <w:r>
        <w:rPr>
          <w:b/>
          <w:sz w:val="18"/>
          <w:szCs w:val="18"/>
          <w:color w:val="EF0F54"/>
          <w:rFonts w:ascii="Calibri" w:hAnsi="Calibri"/>
        </w:rPr>
        <w:t xml:space="preserve">✕  "The nirjala fast is mandatory for all three Teejs — sajal doesn't count."</w:t>
      </w:r>
    </w:p>
    <w:p>
      <w:pPr>
        <w:spacing w:after="100"/>
      </w:pPr>
      <w:r>
        <w:rPr>
          <w:sz w:val="18"/>
          <w:szCs w:val="18"/>
          <w:color w:val="4A3525"/>
          <w:rFonts w:ascii="Calibri" w:hAnsi="Calibri"/>
        </w:rPr>
        <w:t xml:space="preserve">✓  Nirjala is the dominant Pratha for Hartalika Teej specifically, but even there, the Shiva Purana prescribes fasting with devotion — not the waterless form. For Hariyali and Kajari, phalahar and sajal are widely accepted. No Puranic text mandates nirjala for any Teej. A fast adapted to health is a complete vrat.</w:t>
      </w:r>
    </w:p>
    <w:p>
      <w:pPr>
        <w:spacing w:after="100"/>
      </w:pPr>
      <w:r>
        <w:rPr>
          <w:sz w:val="20"/>
          <w:szCs w:val="20"/>
          <w:color w:val="4A3525"/>
          <w:rFonts w:ascii="Calibri" w:hAnsi="Calibri"/>
        </w:rPr>
        <w:t xml:space="preserve"/>
      </w:r>
    </w:p>
    <w:p>
      <w:pPr>
        <w:shd w:fill="F0EDE8" w:val="clear"/>
        <w:spacing w:after="60" w:before="60"/>
      </w:pPr>
      <w:r>
        <w:rPr>
          <w:rFonts w:ascii="Calibri" w:cs="Calibri" w:eastAsia="Calibri" w:hAnsi="Calibri"/>
          <w:i/>
          <w:iCs/>
          <w:color w:val="888888"/>
          <w:sz w:val="17"/>
          <w:szCs w:val="17"/>
        </w:rPr>
        <w:t xml:space="preserve">  ↳ Three Related Pujan rows linking to the individual articles. These are live or will be live by the time this comparison publishes.</w:t>
      </w:r>
    </w:p>
    <w:p>
      <w:pPr>
        <w:spacing w:after="60"/>
      </w:pPr>
      <w:r>
        <w:rPr>
          <w:sz w:val="20"/>
          <w:szCs w:val="20"/>
        </w:rPr>
        <w:t xml:space="preserve"/>
      </w:r>
    </w:p>
    <w:tbl>
      <w:tblPr>
        <w:tblW w:type="dxa" w:w="10080"/>
        <w:tblBorders>
          <w:top w:val="single" w:color="D0C8BC" w:sz="4"/>
          <w:left w:val="single" w:color="D0C8BC" w:sz="4"/>
          <w:bottom w:val="single" w:color="D0C8BC" w:sz="4"/>
          <w:right w:val="single" w:color="D0C8BC" w:sz="4"/>
          <w:insideH w:val="single" w:color="auto" w:sz="4"/>
          <w:insideV w:val="single" w:color="auto" w:sz="4"/>
        </w:tblBorders>
      </w:tblPr>
      <w:tblGrid>
        <w:gridCol w:w="8580"/>
        <w:gridCol w:w="1500"/>
      </w:tblGrid>
      <w:tr>
        <w:tc>
          <w:tcPr>
            <w:tcW w:type="dxa" w:w="8580"/>
            <w:tcBorders>
              <w:top w:val="single" w:color="D0C8BC" w:sz="4"/>
              <w:left w:val="single" w:color="D0C8BC" w:sz="4"/>
              <w:bottom w:val="single" w:color="D0C8BC" w:sz="4"/>
              <w:right w:val="single" w:color="D0C8BC" w:sz="4"/>
            </w:tcBorders>
            <w:shd w:fill="FFFFFF" w:val="clear"/>
            <w:tcMar>
              <w:top w:type="dxa" w:w="80"/>
              <w:left w:type="dxa" w:w="140"/>
              <w:bottom w:type="dxa" w:w="80"/>
              <w:right w:type="dxa" w:w="140"/>
            </w:tcMar>
          </w:tcPr>
          <w:p>
            <w:r>
              <w:rPr>
                <w:rFonts w:ascii="Calibri" w:cs="Calibri" w:eastAsia="Calibri" w:hAnsi="Calibri"/>
                <w:b/>
                <w:bCs/>
                <w:color w:val="4A3525"/>
                <w:sz w:val="21"/>
                <w:szCs w:val="21"/>
              </w:rPr>
              <w:t xml:space="preserve">Hariyali Teej — Complete Vidhi and Vrat Katha</w:t>
            </w:r>
          </w:p>
          <w:p>
            <w:r>
              <w:rPr>
                <w:rFonts w:ascii="Calibri" w:cs="Calibri" w:eastAsia="Calibri" w:hAnsi="Calibri"/>
                <w:color w:val="6B7280"/>
                <w:sz w:val="17"/>
                <w:szCs w:val="17"/>
              </w:rPr>
              <w:t xml:space="preserve">15 August 2026  |  Shravana Shukla Tritiya  |  DHARMA 4/5</w:t>
            </w:r>
          </w:p>
        </w:tc>
        <w:tc>
          <w:tcPr>
            <w:tcW w:type="dxa" w:w="1500"/>
            <w:tcBorders>
              <w:top w:val="single" w:color="D0C8BC" w:sz="4"/>
              <w:left w:val="single" w:color="D0C8BC" w:sz="4"/>
              <w:bottom w:val="single" w:color="D0C8BC" w:sz="4"/>
              <w:right w:val="single" w:color="D0C8BC" w:sz="4"/>
            </w:tcBorders>
            <w:shd w:fill="E6F1E6" w:val="clear"/>
            <w:vAlign w:val="center"/>
          </w:tcPr>
          <w:p>
            <w:pPr>
              <w:jc w:val="center"/>
            </w:pPr>
            <w:r>
              <w:rPr>
                <w:rFonts w:ascii="Calibri" w:cs="Calibri" w:eastAsia="Calibri" w:hAnsi="Calibri"/>
                <w:b/>
                <w:bCs/>
                <w:color w:val="27500A"/>
                <w:sz w:val="17"/>
                <w:szCs w:val="17"/>
              </w:rPr>
              <w:t xml:space="preserve">LIVE</w:t>
            </w:r>
          </w:p>
        </w:tc>
      </w:tr>
    </w:tbl>
    <w:p>
      <w:pPr>
        <w:spacing w:after="60"/>
      </w:pPr>
      <w:r>
        <w:rPr>
          <w:sz w:val="20"/>
          <w:szCs w:val="20"/>
        </w:rPr>
        <w:t xml:space="preserve"/>
      </w:r>
    </w:p>
    <w:tbl>
      <w:tblPr>
        <w:tblW w:type="dxa" w:w="10080"/>
        <w:tblBorders>
          <w:top w:val="single" w:color="D0C8BC" w:sz="4"/>
          <w:left w:val="single" w:color="D0C8BC" w:sz="4"/>
          <w:bottom w:val="single" w:color="D0C8BC" w:sz="4"/>
          <w:right w:val="single" w:color="D0C8BC" w:sz="4"/>
          <w:insideH w:val="single" w:color="auto" w:sz="4"/>
          <w:insideV w:val="single" w:color="auto" w:sz="4"/>
        </w:tblBorders>
      </w:tblPr>
      <w:tblGrid>
        <w:gridCol w:w="8580"/>
        <w:gridCol w:w="1500"/>
      </w:tblGrid>
      <w:tr>
        <w:tc>
          <w:tcPr>
            <w:tcW w:type="dxa" w:w="8580"/>
            <w:tcBorders>
              <w:top w:val="single" w:color="D0C8BC" w:sz="4"/>
              <w:left w:val="single" w:color="D0C8BC" w:sz="4"/>
              <w:bottom w:val="single" w:color="D0C8BC" w:sz="4"/>
              <w:right w:val="single" w:color="D0C8BC" w:sz="4"/>
            </w:tcBorders>
            <w:shd w:fill="FFFFFF" w:val="clear"/>
            <w:tcMar>
              <w:top w:type="dxa" w:w="80"/>
              <w:left w:type="dxa" w:w="140"/>
              <w:bottom w:type="dxa" w:w="80"/>
              <w:right w:type="dxa" w:w="140"/>
            </w:tcMar>
          </w:tcPr>
          <w:p>
            <w:r>
              <w:rPr>
                <w:rFonts w:ascii="Calibri" w:cs="Calibri" w:eastAsia="Calibri" w:hAnsi="Calibri"/>
                <w:b/>
                <w:bCs/>
                <w:color w:val="4A3525"/>
                <w:sz w:val="21"/>
                <w:szCs w:val="21"/>
              </w:rPr>
              <w:t xml:space="preserve">Kajari Teej — Vidhi and How It Differs</w:t>
            </w:r>
          </w:p>
          <w:p>
            <w:r>
              <w:rPr>
                <w:rFonts w:ascii="Calibri" w:cs="Calibri" w:eastAsia="Calibri" w:hAnsi="Calibri"/>
                <w:color w:val="6B7280"/>
                <w:sz w:val="17"/>
                <w:szCs w:val="17"/>
              </w:rPr>
              <w:t xml:space="preserve">31 August 2026  |  Bhadrapada Krishna Tritiya  |  MIXED 3/5</w:t>
            </w:r>
          </w:p>
        </w:tc>
        <w:tc>
          <w:tcPr>
            <w:tcW w:type="dxa" w:w="1500"/>
            <w:tcBorders>
              <w:top w:val="single" w:color="D0C8BC" w:sz="4"/>
              <w:left w:val="single" w:color="D0C8BC" w:sz="4"/>
              <w:bottom w:val="single" w:color="D0C8BC" w:sz="4"/>
              <w:right w:val="single" w:color="D0C8BC" w:sz="4"/>
            </w:tcBorders>
            <w:shd w:fill="E6F1E6" w:val="clear"/>
            <w:vAlign w:val="center"/>
          </w:tcPr>
          <w:p>
            <w:pPr>
              <w:jc w:val="center"/>
            </w:pPr>
            <w:r>
              <w:rPr>
                <w:rFonts w:ascii="Calibri" w:cs="Calibri" w:eastAsia="Calibri" w:hAnsi="Calibri"/>
                <w:b/>
                <w:bCs/>
                <w:color w:val="27500A"/>
                <w:sz w:val="17"/>
                <w:szCs w:val="17"/>
              </w:rPr>
              <w:t xml:space="preserve">LIVE</w:t>
            </w:r>
          </w:p>
        </w:tc>
      </w:tr>
    </w:tbl>
    <w:p>
      <w:pPr>
        <w:spacing w:after="60"/>
      </w:pPr>
      <w:r>
        <w:rPr>
          <w:sz w:val="20"/>
          <w:szCs w:val="20"/>
        </w:rPr>
        <w:t xml:space="preserve"/>
      </w:r>
    </w:p>
    <w:tbl>
      <w:tblPr>
        <w:tblW w:type="dxa" w:w="10080"/>
        <w:tblBorders>
          <w:top w:val="single" w:color="D0C8BC" w:sz="4"/>
          <w:left w:val="single" w:color="D0C8BC" w:sz="4"/>
          <w:bottom w:val="single" w:color="D0C8BC" w:sz="4"/>
          <w:right w:val="single" w:color="D0C8BC" w:sz="4"/>
          <w:insideH w:val="single" w:color="auto" w:sz="4"/>
          <w:insideV w:val="single" w:color="auto" w:sz="4"/>
        </w:tblBorders>
      </w:tblPr>
      <w:tblGrid>
        <w:gridCol w:w="8580"/>
        <w:gridCol w:w="1500"/>
      </w:tblGrid>
      <w:tr>
        <w:tc>
          <w:tcPr>
            <w:tcW w:type="dxa" w:w="8580"/>
            <w:tcBorders>
              <w:top w:val="single" w:color="D0C8BC" w:sz="4"/>
              <w:left w:val="single" w:color="D0C8BC" w:sz="4"/>
              <w:bottom w:val="single" w:color="D0C8BC" w:sz="4"/>
              <w:right w:val="single" w:color="D0C8BC" w:sz="4"/>
            </w:tcBorders>
            <w:shd w:fill="FFFFFF" w:val="clear"/>
            <w:tcMar>
              <w:top w:type="dxa" w:w="80"/>
              <w:left w:type="dxa" w:w="140"/>
              <w:bottom w:type="dxa" w:w="80"/>
              <w:right w:type="dxa" w:w="140"/>
            </w:tcMar>
          </w:tcPr>
          <w:p>
            <w:r>
              <w:rPr>
                <w:rFonts w:ascii="Calibri" w:cs="Calibri" w:eastAsia="Calibri" w:hAnsi="Calibri"/>
                <w:b/>
                <w:bCs/>
                <w:color w:val="4A3525"/>
                <w:sz w:val="21"/>
                <w:szCs w:val="21"/>
              </w:rPr>
              <w:t xml:space="preserve">Hartalika Teej — Vidhi and Vrat Katha</w:t>
            </w:r>
          </w:p>
          <w:p>
            <w:r>
              <w:rPr>
                <w:rFonts w:ascii="Calibri" w:cs="Calibri" w:eastAsia="Calibri" w:hAnsi="Calibri"/>
                <w:color w:val="6B7280"/>
                <w:sz w:val="17"/>
                <w:szCs w:val="17"/>
              </w:rPr>
              <w:t xml:space="preserve">14 September 2026  |  Bhadrapada Shukla Tritiya  |  DHARMA 4/5</w:t>
            </w:r>
          </w:p>
        </w:tc>
        <w:tc>
          <w:tcPr>
            <w:tcW w:type="dxa" w:w="1500"/>
            <w:tcBorders>
              <w:top w:val="single" w:color="D0C8BC" w:sz="4"/>
              <w:left w:val="single" w:color="D0C8BC" w:sz="4"/>
              <w:bottom w:val="single" w:color="D0C8BC" w:sz="4"/>
              <w:right w:val="single" w:color="D0C8BC" w:sz="4"/>
            </w:tcBorders>
            <w:shd w:fill="F5F1E8" w:val="clear"/>
            <w:vAlign w:val="center"/>
          </w:tcPr>
          <w:p>
            <w:pPr>
              <w:jc w:val="center"/>
            </w:pPr>
            <w:r>
              <w:rPr>
                <w:rFonts w:ascii="Calibri" w:cs="Calibri" w:eastAsia="Calibri" w:hAnsi="Calibri"/>
                <w:b/>
                <w:bCs/>
                <w:color w:val="A07800"/>
                <w:sz w:val="15"/>
                <w:szCs w:val="15"/>
              </w:rPr>
              <w:t>LIVE</w:t>
            </w:r>
          </w:p>
        </w:tc>
      </w:tr>
    </w:tbl>
    <w:p>
      <w:pPr>
        <w:spacing w:after="80"/>
      </w:pPr>
      <w:r>
        <w:rPr>
          <w:sz w:val="20"/>
          <w:szCs w:val="20"/>
        </w:rPr>
        <w:t xml:space="preserve"/>
      </w:r>
    </w:p>
    <w:p>
      <w:pPr>
        <w:spacing w:after="80"/>
      </w:pPr>
      <w:r>
        <w:rPr>
          <w:sz w:val="20"/>
          <w:szCs w:val="20"/>
        </w:rPr>
        <w:t xml:space="preserve"/>
      </w:r>
    </w:p>
    <w:p>
      <w:pPr>
        <w:spacing w:before="200"/>
        <w:jc w:val="center"/>
      </w:pPr>
      <w:r>
        <w:rPr>
          <w:rFonts w:ascii="Calibri" w:cs="Calibri" w:eastAsia="Calibri" w:hAnsi="Calibri"/>
          <w:i/>
          <w:iCs/>
          <w:color w:val="6B7280"/>
          <w:sz w:val="16"/>
          <w:szCs w:val="16"/>
        </w:rPr>
        <w:t xml:space="preserve">The Tapa Co. 2026  |  Internal Document  |  Stage 1 - Editorial Draft  |  Not for public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2026-07-09T05:24:59.788Z</dcterms:created>
  <dcterms:modified xsi:type="dcterms:W3CDTF">2026-07-09T05:24:59.788Z</dcterms:modified>
</cp:coreProperties>
</file>

<file path=docProps/custom.xml><?xml version="1.0" encoding="utf-8"?>
<Properties xmlns="http://schemas.openxmlformats.org/officeDocument/2006/custom-properties" xmlns:vt="http://schemas.openxmlformats.org/officeDocument/2006/docPropsVTypes"/>
</file>