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00"/>
      </w:pPr>
      <w:r>
        <w:rPr>
          <w:rFonts w:ascii="Trebuchet MS" w:cs="Trebuchet MS" w:eastAsia="Trebuchet MS" w:hAnsi="Trebuchet MS"/>
          <w:b/>
          <w:bCs/>
          <w:i w:val="false"/>
          <w:iCs w:val="false"/>
          <w:color w:val="EF0F54"/>
          <w:sz w:val="18"/>
          <w:szCs w:val="18"/>
        </w:rPr>
        <w:t xml:space="preserve">DHARMIC CONCEPT</w:t>
      </w:r>
    </w:p>
    <w:p>
      <w:pPr>
        <w:spacing w:after="70" w:line="300"/>
      </w:pPr>
      <w:r>
        <w:rPr>
          <w:rFonts w:ascii="Trebuchet MS" w:cs="Trebuchet MS" w:eastAsia="Trebuchet MS" w:hAnsi="Trebuchet MS"/>
          <w:b/>
          <w:bCs/>
          <w:i w:val="false"/>
          <w:iCs w:val="false"/>
          <w:color w:val="4A3525"/>
          <w:sz w:val="28"/>
          <w:szCs w:val="28"/>
        </w:rPr>
        <w:t xml:space="preserve">Clay Was the Original, Not the Alternative</w:t>
      </w:r>
    </w:p>
    <w:p>
      <w:pPr>
        <w:spacing w:after="60" w:line="300"/>
      </w:pPr>
      <w:r>
        <w:rPr>
          <w:rFonts w:ascii="Trebuchet MS" w:cs="Trebuchet MS" w:eastAsia="Trebuchet MS" w:hAnsi="Trebuchet MS"/>
          <w:b w:val="false"/>
          <w:bCs w:val="false"/>
          <w:i/>
          <w:iCs/>
          <w:color w:val="8A7B68"/>
          <w:sz w:val="20"/>
          <w:szCs w:val="20"/>
        </w:rPr>
        <w:t xml:space="preserve">The tradition did not upgrade to Plaster of Paris. The market substituted it.</w:t>
      </w:r>
    </w:p>
    <w:p>
      <w:pPr>
        <w:spacing w:after="145" w:line="300"/>
      </w:pPr>
      <w:r>
        <w:rPr>
          <w:rFonts w:ascii="Trebuchet MS" w:cs="Trebuchet MS" w:eastAsia="Trebuchet MS" w:hAnsi="Trebuchet MS"/>
          <w:b w:val="false"/>
          <w:bCs w:val="false"/>
          <w:i/>
          <w:iCs/>
          <w:color w:val="8A7B68"/>
          <w:sz w:val="18"/>
          <w:szCs w:val="18"/>
        </w:rPr>
        <w:t xml:space="preserve">Evergreen · Stage 1 editorial draft</w:t>
      </w:r>
    </w:p>
    <w:p>
      <w:pPr>
        <w:spacing w:after="190"/>
      </w:pPr>
    </w:p>
    <w:p>
      <w:pPr>
        <w:pBdr>
          <w:bottom w:val="single" w:color="B8860B" w:sz="12" w:space="8"/>
        </w:pBdr>
        <w:spacing w:after="180" w:before="380"/>
      </w:pPr>
      <w:r>
        <w:rPr>
          <w:rFonts w:ascii="Trebuchet MS" w:cs="Trebuchet MS" w:eastAsia="Trebuchet MS" w:hAnsi="Trebuchet MS"/>
          <w:b/>
          <w:bCs/>
          <w:color w:val="EF0F54"/>
          <w:sz w:val="26"/>
          <w:szCs w:val="26"/>
        </w:rPr>
        <w:t xml:space="preserve">PART A — Backend</w:t>
      </w:r>
    </w:p>
    <w:p>
      <w:pPr>
        <w:spacing w:after="170" w:before="140" w:line="290"/>
        <w:ind w:left="200"/>
      </w:pPr>
      <w:r>
        <w:rPr>
          <w:rFonts w:ascii="Trebuchet MS" w:cs="Trebuchet MS" w:eastAsia="Trebuchet MS" w:hAnsi="Trebuchet MS"/>
          <w:i/>
          <w:iCs/>
          <w:color w:val="8A7B68"/>
          <w:sz w:val="17"/>
          <w:szCs w:val="17"/>
        </w:rPr>
        <w:t xml:space="preserve">TAG CORRECTED — read this before editing. The earlier draft tagged the core claim DHARMA 4/5 with the source given as “traditional material practice”. That is not a named text, so under the naming rule it cannot be Dharma. The article was claiming scriptural authority for a material-history argument, which is exactly the over-reach the naming rule exists to prevent — and doing it on an environmental case makes it worse, not better.</w:t>
      </w:r>
    </w:p>
    <w:p>
      <w:pPr>
        <w:spacing w:after="145" w:line="300"/>
      </w:pPr>
      <w:r>
        <w:rPr>
          <w:rFonts w:ascii="Trebuchet MS" w:cs="Trebuchet MS" w:eastAsia="Trebuchet MS" w:hAnsi="Trebuchet MS"/>
          <w:b w:val="false"/>
          <w:bCs w:val="false"/>
          <w:i w:val="false"/>
          <w:iCs w:val="false"/>
          <w:color w:val="4A3525"/>
          <w:sz w:val="20"/>
          <w:szCs w:val="20"/>
        </w:rPr>
        <w:t xml:space="preserve">The fix is not to lower the whole article. It is to separate two different claims that were merged:</w:t>
      </w:r>
    </w:p>
    <w:p>
      <w:pPr>
        <w:pStyle w:val="ListParagraph"/>
        <w:numPr>
          <w:ilvl w:val="0"/>
          <w:numId w:val="1"/>
        </w:numPr>
        <w:spacing w:after="95" w:line="300"/>
      </w:pPr>
      <w:r>
        <w:rPr>
          <w:rFonts w:ascii="Trebuchet MS" w:cs="Trebuchet MS" w:eastAsia="Trebuchet MS" w:hAnsi="Trebuchet MS"/>
          <w:color w:val="4A3525"/>
          <w:sz w:val="20"/>
          <w:szCs w:val="20"/>
        </w:rPr>
        <w:t xml:space="preserve">The visarjan cycle requires a material that dissolves. This IS citable — prana pratishtha and visarjan are Agama and Dharmashastra tradition, Tier 2. Dharma 4/5. This is the core claim.</w:t>
      </w:r>
    </w:p>
    <w:p>
      <w:pPr>
        <w:pStyle w:val="ListParagraph"/>
        <w:numPr>
          <w:ilvl w:val="0"/>
          <w:numId w:val="1"/>
        </w:numPr>
        <w:spacing w:after="95" w:line="300"/>
      </w:pPr>
      <w:r>
        <w:rPr>
          <w:rFonts w:ascii="Trebuchet MS" w:cs="Trebuchet MS" w:eastAsia="Trebuchet MS" w:hAnsi="Trebuchet MS"/>
          <w:color w:val="4A3525"/>
          <w:sz w:val="20"/>
          <w:szCs w:val="20"/>
        </w:rPr>
        <w:t xml:space="preserve">Clay was the historical material and PoP replaced it commercially in the 1960s–70s. This is documented material history, not scripture. Pratha 2/5, and stated as history rather than as religious authority.</w:t>
      </w:r>
    </w:p>
    <w:p>
      <w:pPr>
        <w:spacing w:after="145" w:line="300"/>
      </w:pPr>
      <w:r>
        <w:rPr>
          <w:rFonts w:ascii="Trebuchet MS" w:cs="Trebuchet MS" w:eastAsia="Trebuchet MS" w:hAnsi="Trebuchet MS"/>
          <w:b/>
          <w:bCs/>
          <w:i w:val="false"/>
          <w:iCs w:val="false"/>
          <w:color w:val="4A3525"/>
          <w:sz w:val="20"/>
          <w:szCs w:val="20"/>
        </w:rPr>
        <w:t xml:space="preserve">Made this way the argument is stronger, not weaker. We are not saying scripture forbids PoP — it does not, and claiming so would be manufacturing a Bhranti of our own. We are saying the ritual requires dissolution, and PoP does not dissolve.</w:t>
      </w:r>
    </w:p>
    <w:p>
      <w:pPr>
        <w:spacing w:after="110" w:before="260"/>
      </w:pPr>
      <w:r>
        <w:rPr>
          <w:rFonts w:ascii="Trebuchet MS" w:cs="Trebuchet MS" w:eastAsia="Trebuchet MS" w:hAnsi="Trebuchet MS"/>
          <w:b/>
          <w:bCs/>
          <w:color w:val="4A3525"/>
          <w:sz w:val="22"/>
          <w:szCs w:val="22"/>
        </w:rPr>
        <w:t xml:space="preserve">Source-of-Truth panel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7300"/>
      </w:tblGrid>
      <w:tr>
        <w:trPr>
          <w:tblHeader/>
        </w:trPr>
        <w:tc>
          <w:tcPr>
            <w:tcW w:type="dxa" w:w="20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Field</w:t>
            </w:r>
          </w:p>
        </w:tc>
        <w:tc>
          <w:tcPr>
            <w:tcW w:type="dxa" w:w="73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Value</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Core claim</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The visarjan cycle requires a material that returns to the elements</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Tag</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DHARMA</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Confidence Score</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4/5</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Badge</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Shastra</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Primary source</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Agama and Dharmashastra tradition — prana pratishtha and visarjan as a complete arc</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Historical claim</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Shadu mati and local riverbed clay as the traditional material; PoP introduced commercially in the 1960s–70s. Documented material history, tagged Pratha and presented as history.</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Composition line</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1 core claim · 2 scriptural elements · 4 material conventions · 2 corrections</w:t>
            </w:r>
          </w:p>
        </w:tc>
      </w:tr>
    </w:tbl>
    <w:p>
      <w:pPr>
        <w:spacing w:after="190"/>
      </w:pPr>
    </w:p>
    <w:p>
      <w:pPr>
        <w:spacing w:after="110" w:before="260"/>
      </w:pPr>
      <w:r>
        <w:rPr>
          <w:rFonts w:ascii="Trebuchet MS" w:cs="Trebuchet MS" w:eastAsia="Trebuchet MS" w:hAnsi="Trebuchet MS"/>
          <w:b/>
          <w:bCs/>
          <w:color w:val="4A3525"/>
          <w:sz w:val="22"/>
          <w:szCs w:val="22"/>
        </w:rPr>
        <w:t xml:space="preserve">Internal tagging log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800"/>
        <w:gridCol w:w="4400"/>
      </w:tblGrid>
      <w:tr>
        <w:trPr>
          <w:tblHeader/>
        </w:trPr>
        <w:tc>
          <w:tcPr>
            <w:tcW w:type="dxa" w:w="32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Element</w:t>
            </w:r>
          </w:p>
        </w:tc>
        <w:tc>
          <w:tcPr>
            <w:tcW w:type="dxa" w:w="9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Tag</w:t>
            </w:r>
          </w:p>
        </w:tc>
        <w:tc>
          <w:tcPr>
            <w:tcW w:type="dxa" w:w="8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Score</w:t>
            </w:r>
          </w:p>
        </w:tc>
        <w:tc>
          <w:tcPr>
            <w:tcW w:type="dxa" w:w="44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Source / note</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The visarjan cycle requires dissolution</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DHARMA</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4/5</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Agama and Dharmashastra — prana pratishtha and visarjan as one arc. THIS IS THE CORE CLAIM.</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Prana pratishtha and visarjan as a complete arc</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DHARMA</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4/5</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Agama tradition.</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Clay as the historical material</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PRATHA</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2/5</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Documented regional practice. Not scriptural, and the clay type varied by region.</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Natural or mineral colours</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PRATHA</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2/5</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Historical practice.</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PoP idols</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PRATHA</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1/5</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Commercial substitution from the 1960s–70s. No text prescribes it.</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Giant idols over ten feet</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PRATHA</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1/5</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Community spectacle, not home worship.</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“Choosing clay is a modern Western idea that dilutes tradition”</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BHRANTI</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Correction.</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“Visarjan at home in a bucket is disrespectful”</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BHRANTI</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Correction.</w:t>
            </w:r>
          </w:p>
        </w:tc>
      </w:tr>
    </w:tbl>
    <w:p>
      <w:pPr>
        <w:spacing w:after="190"/>
      </w:pPr>
    </w:p>
    <w:p>
      <w:pPr>
        <w:spacing w:after="110" w:before="260"/>
      </w:pPr>
      <w:r>
        <w:rPr>
          <w:rFonts w:ascii="Trebuchet MS" w:cs="Trebuchet MS" w:eastAsia="Trebuchet MS" w:hAnsi="Trebuchet MS"/>
          <w:b/>
          <w:bCs/>
          <w:color w:val="4A3525"/>
          <w:sz w:val="22"/>
          <w:szCs w:val="22"/>
        </w:rPr>
        <w:t xml:space="preserve">Stage 2 checklist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8700"/>
      </w:tblGrid>
      <w:tr>
        <w:trPr>
          <w:tblHeader/>
        </w:trPr>
        <w:tc>
          <w:tcPr>
            <w:tcW w:type="dxa" w:w="6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w:t>
            </w:r>
          </w:p>
        </w:tc>
        <w:tc>
          <w:tcPr>
            <w:tcW w:type="dxa" w:w="87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Check</w:t>
            </w:r>
          </w:p>
        </w:tc>
      </w:tr>
      <w:tr>
        <w:trPr>
          <w:tblHeader w:val="false"/>
        </w:trPr>
        <w:tc>
          <w:tcPr>
            <w:tcW w:type="dxa" w:w="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1</w:t>
            </w:r>
          </w:p>
        </w:tc>
        <w:tc>
          <w:tcPr>
            <w:tcW w:type="dxa" w:w="87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The claim that temple authorities and Dharmacharyas have endorsed home visarjan must be sourced or removed. Name at least one, or reword to describe the practice without the appeal to authority. An unsourced “many authorities agree” is precisely what we correct in other people.</w:t>
            </w:r>
          </w:p>
        </w:tc>
      </w:tr>
      <w:tr>
        <w:trPr>
          <w:tblHeader w:val="false"/>
        </w:trPr>
        <w:tc>
          <w:tcPr>
            <w:tcW w:type="dxa" w:w="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2</w:t>
            </w:r>
          </w:p>
        </w:tc>
        <w:tc>
          <w:tcPr>
            <w:tcW w:type="dxa" w:w="87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Confirm the 1960s–70s dating of PoP introduction against a documentary source, and cite it.</w:t>
            </w:r>
          </w:p>
        </w:tc>
      </w:tr>
      <w:tr>
        <w:trPr>
          <w:tblHeader w:val="false"/>
        </w:trPr>
        <w:tc>
          <w:tcPr>
            <w:tcW w:type="dxa" w:w="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3</w:t>
            </w:r>
          </w:p>
        </w:tc>
        <w:tc>
          <w:tcPr>
            <w:tcW w:type="dxa" w:w="87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Confirm shadu mati regional scope — the draft implies it is universal; it is Maharashtra and Gujarat with other clays elsewhere.</w:t>
            </w:r>
          </w:p>
        </w:tc>
      </w:tr>
      <w:tr>
        <w:trPr>
          <w:tblHeader w:val="false"/>
        </w:trPr>
        <w:tc>
          <w:tcPr>
            <w:tcW w:type="dxa" w:w="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4</w:t>
            </w:r>
          </w:p>
        </w:tc>
        <w:tc>
          <w:tcPr>
            <w:tcW w:type="dxa" w:w="87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This article is the canonical version of the eco intelligence card. Add it to the eligibility map, eligible on Ganesh Chaturthi only.</w:t>
            </w:r>
          </w:p>
        </w:tc>
      </w:tr>
    </w:tbl>
    <w:p>
      <w:r>
        <w:br w:type="page"/>
      </w:r>
    </w:p>
    <w:p>
      <w:pPr>
        <w:pBdr>
          <w:bottom w:val="single" w:color="B8860B" w:sz="12" w:space="8"/>
        </w:pBdr>
        <w:spacing w:after="180" w:before="380"/>
      </w:pPr>
      <w:r>
        <w:rPr>
          <w:rFonts w:ascii="Trebuchet MS" w:cs="Trebuchet MS" w:eastAsia="Trebuchet MS" w:hAnsi="Trebuchet MS"/>
          <w:b/>
          <w:bCs/>
          <w:color w:val="EF0F54"/>
          <w:sz w:val="26"/>
          <w:szCs w:val="26"/>
        </w:rPr>
        <w:t xml:space="preserve">PART B — Article</w:t>
      </w:r>
    </w:p>
    <w:p>
      <w:pPr>
        <w:spacing w:after="110" w:before="260"/>
      </w:pPr>
      <w:r>
        <w:rPr>
          <w:rFonts w:ascii="Trebuchet MS" w:cs="Trebuchet MS" w:eastAsia="Trebuchet MS" w:hAnsi="Trebuchet MS"/>
          <w:b/>
          <w:bCs/>
          <w:color w:val="4A3525"/>
          <w:sz w:val="22"/>
          <w:szCs w:val="22"/>
        </w:rPr>
        <w:t xml:space="preserve">Credibility card</w:t>
      </w:r>
    </w:p>
    <w:p>
      <w:pPr>
        <w:spacing w:after="145" w:line="300"/>
      </w:pPr>
      <w:r>
        <w:rPr>
          <w:rFonts w:ascii="Trebuchet MS" w:cs="Trebuchet MS" w:eastAsia="Trebuchet MS" w:hAnsi="Trebuchet MS"/>
          <w:b/>
          <w:bCs/>
          <w:i w:val="false"/>
          <w:iCs w:val="false"/>
          <w:color w:val="4A3525"/>
          <w:sz w:val="20"/>
          <w:szCs w:val="20"/>
        </w:rPr>
        <w:t xml:space="preserve">Core claim — The visarjan cycle requires a material that returns to the elements</w:t>
      </w:r>
    </w:p>
    <w:p>
      <w:pPr>
        <w:spacing w:after="145" w:line="300"/>
      </w:pPr>
      <w:r>
        <w:rPr>
          <w:rFonts w:ascii="Trebuchet MS" w:cs="Trebuchet MS" w:eastAsia="Trebuchet MS" w:hAnsi="Trebuchet MS"/>
          <w:b/>
          <w:bCs/>
          <w:i w:val="false"/>
          <w:iCs w:val="false"/>
          <w:color w:val="27500A"/>
          <w:sz w:val="20"/>
          <w:szCs w:val="20"/>
        </w:rPr>
        <w:t xml:space="preserve">Dharma · 4/5 · Agama and Dharmashastra — prana pratishtha and visarjan</w:t>
      </w:r>
    </w:p>
    <w:p>
      <w:pPr>
        <w:spacing w:after="145" w:line="300"/>
      </w:pPr>
      <w:r>
        <w:rPr>
          <w:rFonts w:ascii="Trebuchet MS" w:cs="Trebuchet MS" w:eastAsia="Trebuchet MS" w:hAnsi="Trebuchet MS"/>
          <w:b w:val="false"/>
          <w:bCs w:val="false"/>
          <w:i w:val="false"/>
          <w:iCs w:val="false"/>
          <w:color w:val="8A7B68"/>
          <w:sz w:val="18"/>
          <w:szCs w:val="18"/>
        </w:rPr>
        <w:t xml:space="preserve">This piece: 1 core claim · 2 scriptural elements · 4 material conventions · 2 corrections</w:t>
      </w:r>
    </w:p>
    <w:p>
      <w:pPr>
        <w:spacing w:after="190"/>
      </w:pPr>
    </w:p>
    <w:p>
      <w:pPr>
        <w:spacing w:after="110" w:before="260"/>
      </w:pPr>
      <w:r>
        <w:rPr>
          <w:rFonts w:ascii="Trebuchet MS" w:cs="Trebuchet MS" w:eastAsia="Trebuchet MS" w:hAnsi="Trebuchet MS"/>
          <w:b/>
          <w:bCs/>
          <w:color w:val="4A3525"/>
          <w:sz w:val="22"/>
          <w:szCs w:val="22"/>
        </w:rPr>
        <w:t xml:space="preserve">The problem you already know</w:t>
      </w:r>
    </w:p>
    <w:p>
      <w:pPr>
        <w:spacing w:after="145" w:line="300"/>
      </w:pPr>
      <w:r>
        <w:rPr>
          <w:rFonts w:ascii="Trebuchet MS" w:cs="Trebuchet MS" w:eastAsia="Trebuchet MS" w:hAnsi="Trebuchet MS"/>
          <w:b w:val="false"/>
          <w:bCs w:val="false"/>
          <w:i w:val="false"/>
          <w:iCs w:val="false"/>
          <w:color w:val="4A3525"/>
          <w:sz w:val="20"/>
          <w:szCs w:val="20"/>
        </w:rPr>
        <w:t xml:space="preserve">Every year after visarjan the images are the same: water bodies filled with broken idols, chemical paint dissolving into them, aquatic life dying, cities spending crores on cleanup.</w:t>
      </w:r>
    </w:p>
    <w:p>
      <w:pPr>
        <w:spacing w:after="145" w:line="300"/>
      </w:pPr>
      <w:r>
        <w:rPr>
          <w:rFonts w:ascii="Trebuchet MS" w:cs="Trebuchet MS" w:eastAsia="Trebuchet MS" w:hAnsi="Trebuchet MS"/>
          <w:b w:val="false"/>
          <w:bCs w:val="false"/>
          <w:i w:val="false"/>
          <w:iCs w:val="false"/>
          <w:color w:val="4A3525"/>
          <w:sz w:val="20"/>
          <w:szCs w:val="20"/>
        </w:rPr>
        <w:t xml:space="preserve">And every year the framing is the same — tradition against environment. As though choosing a natural idol meant choosing against Ganesha. That framing is wrong, and the reason it is wrong has nothing to do with environmentalism.</w:t>
      </w:r>
    </w:p>
    <w:p>
      <w:pPr>
        <w:spacing w:after="80" w:before="170"/>
      </w:pPr>
      <w:r>
        <w:rPr>
          <w:rFonts w:ascii="Trebuchet MS" w:cs="Trebuchet MS" w:eastAsia="Trebuchet MS" w:hAnsi="Trebuchet MS"/>
          <w:b/>
          <w:bCs/>
          <w:color w:val="B8860B"/>
          <w:sz w:val="18"/>
          <w:szCs w:val="18"/>
        </w:rPr>
        <w:t xml:space="preserve">──  IMAGE 1  ──</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7700"/>
      </w:tblGrid>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Tier</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AI-generated</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Subject</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Two small Ganesha idols side by side — one natural clay, rough and simple and earthy; one Plaster of Paris, smooth with bright chemical paint. The clay one smaller and humbler.</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Palette</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Terracotta and earth against synthetic brights</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Caption</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Left: what your grandmother used. Right: what the market sold you.</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Prohibitions</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No detailed frontal deity face. No text in frame.</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Review</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ICONOGRAPHIC CHECK at Stage 3 — deities depicted. Verify both idols are correctly rendered; a wrongly-formed idol in an article about doing it properly would be its own argument against us.</w:t>
            </w:r>
          </w:p>
        </w:tc>
      </w:tr>
    </w:tbl>
    <w:p>
      <w:pPr>
        <w:spacing w:after="190"/>
      </w:pPr>
    </w:p>
    <w:p>
      <w:pPr>
        <w:spacing w:after="110" w:before="260"/>
      </w:pPr>
      <w:r>
        <w:rPr>
          <w:rFonts w:ascii="Trebuchet MS" w:cs="Trebuchet MS" w:eastAsia="Trebuchet MS" w:hAnsi="Trebuchet MS"/>
          <w:b/>
          <w:bCs/>
          <w:color w:val="4A3525"/>
          <w:sz w:val="22"/>
          <w:szCs w:val="22"/>
        </w:rPr>
        <w:t xml:space="preserve">What the ritual actually requires</w:t>
      </w:r>
    </w:p>
    <w:p>
      <w:pPr>
        <w:spacing w:after="145" w:line="300"/>
      </w:pPr>
      <w:r>
        <w:rPr>
          <w:rFonts w:ascii="Trebuchet MS" w:cs="Trebuchet MS" w:eastAsia="Trebuchet MS" w:hAnsi="Trebuchet MS"/>
          <w:color w:val="4A3525"/>
          <w:sz w:val="20"/>
          <w:szCs w:val="20"/>
        </w:rPr>
        <w:t xml:space="preserve">The arc is prana pratishtha and visarjan — the presence invited into the form, and the form returned to the elements. The cycle is not complete until the material dissolves. That is not an environmental argument. It is what the ritual is.  </w:t>
      </w:r>
      <w:r>
        <w:rPr>
          <w:rFonts w:ascii="Trebuchet MS" w:cs="Trebuchet MS" w:eastAsia="Trebuchet MS" w:hAnsi="Trebuchet MS"/>
          <w:b/>
          <w:bCs/>
          <w:color w:val="27500A"/>
          <w:sz w:val="16"/>
          <w:szCs w:val="16"/>
        </w:rPr>
        <w:t xml:space="preserve">[Dharma · 4/5]</w:t>
      </w:r>
    </w:p>
    <w:p>
      <w:pPr>
        <w:spacing w:after="145" w:line="300"/>
      </w:pPr>
      <w:r>
        <w:rPr>
          <w:rFonts w:ascii="Trebuchet MS" w:cs="Trebuchet MS" w:eastAsia="Trebuchet MS" w:hAnsi="Trebuchet MS"/>
          <w:b w:val="false"/>
          <w:bCs w:val="false"/>
          <w:i w:val="false"/>
          <w:iCs w:val="false"/>
          <w:color w:val="4A3525"/>
          <w:sz w:val="20"/>
          <w:szCs w:val="20"/>
        </w:rPr>
        <w:t xml:space="preserve">Which is the whole case, and it is worth being precise about it. No scripture forbids Plaster of Paris — it could not, since no scripture had heard of it. What scripture describes is a rite that ends in dissolution. PoP does not dissolve. A material that cannot complete the rite is a poor material for the rite, and that is a different and much stronger claim than saying the texts prohibit it.</w:t>
      </w:r>
    </w:p>
    <w:p>
      <w:pPr>
        <w:spacing w:after="110" w:before="260"/>
      </w:pPr>
      <w:r>
        <w:rPr>
          <w:rFonts w:ascii="Trebuchet MS" w:cs="Trebuchet MS" w:eastAsia="Trebuchet MS" w:hAnsi="Trebuchet MS"/>
          <w:b/>
          <w:bCs/>
          <w:color w:val="4A3525"/>
          <w:sz w:val="22"/>
          <w:szCs w:val="22"/>
        </w:rPr>
        <w:t xml:space="preserve">What your grandmother actually used — the history</w:t>
      </w:r>
    </w:p>
    <w:p>
      <w:pPr>
        <w:spacing w:after="145" w:line="300"/>
      </w:pPr>
      <w:r>
        <w:rPr>
          <w:rFonts w:ascii="Trebuchet MS" w:cs="Trebuchet MS" w:eastAsia="Trebuchet MS" w:hAnsi="Trebuchet MS"/>
          <w:color w:val="4A3525"/>
          <w:sz w:val="20"/>
          <w:szCs w:val="20"/>
        </w:rPr>
        <w:t xml:space="preserve">Before the 1960s almost every home idol was natural clay — shadu mati in Maharashtra and Gujarat, local riverbed clay elsewhere. Shaped by hand or by a local murti-maker, painted with natural colours or left unpainted, and small: six to twelve inches. At visarjan the clay dissolved within hours and the mineral colours dispersed harmlessly.  </w:t>
      </w:r>
      <w:r>
        <w:rPr>
          <w:rFonts w:ascii="Trebuchet MS" w:cs="Trebuchet MS" w:eastAsia="Trebuchet MS" w:hAnsi="Trebuchet MS"/>
          <w:b/>
          <w:bCs/>
          <w:color w:val="A07800"/>
          <w:sz w:val="16"/>
          <w:szCs w:val="16"/>
        </w:rPr>
        <w:t xml:space="preserve">[Pratha · 2/5]</w:t>
      </w:r>
    </w:p>
    <w:p>
      <w:pPr>
        <w:spacing w:after="145" w:line="300"/>
      </w:pPr>
      <w:r>
        <w:rPr>
          <w:rFonts w:ascii="Trebuchet MS" w:cs="Trebuchet MS" w:eastAsia="Trebuchet MS" w:hAnsi="Trebuchet MS"/>
          <w:b w:val="false"/>
          <w:bCs w:val="false"/>
          <w:i w:val="false"/>
          <w:iCs w:val="false"/>
          <w:color w:val="4A3525"/>
          <w:sz w:val="20"/>
          <w:szCs w:val="20"/>
        </w:rPr>
        <w:t xml:space="preserve">This is documented material history rather than scripture, which is why it is tagged as custom. It is still true, and it is still worth knowing. It simply is not the same kind of claim as the one above it.</w:t>
      </w:r>
    </w:p>
    <w:p>
      <w:pPr>
        <w:spacing w:after="145" w:line="300"/>
      </w:pPr>
      <w:r>
        <w:rPr>
          <w:rFonts w:ascii="Trebuchet MS" w:cs="Trebuchet MS" w:eastAsia="Trebuchet MS" w:hAnsi="Trebuchet MS"/>
          <w:b w:val="false"/>
          <w:bCs w:val="false"/>
          <w:i/>
          <w:iCs/>
          <w:color w:val="4A3525"/>
          <w:sz w:val="20"/>
          <w:szCs w:val="20"/>
        </w:rPr>
        <w:t xml:space="preserve">It was not eco-friendly Ganesh Chaturthi. It was just Ganesh Chaturthi.</w:t>
      </w:r>
    </w:p>
    <w:p>
      <w:pPr>
        <w:spacing w:after="110" w:before="260"/>
      </w:pPr>
      <w:r>
        <w:rPr>
          <w:rFonts w:ascii="Trebuchet MS" w:cs="Trebuchet MS" w:eastAsia="Trebuchet MS" w:hAnsi="Trebuchet MS"/>
          <w:b/>
          <w:bCs/>
          <w:color w:val="4A3525"/>
          <w:sz w:val="22"/>
          <w:szCs w:val="22"/>
        </w:rPr>
        <w:t xml:space="preserve">What changed</w:t>
      </w:r>
    </w:p>
    <w:p>
      <w:pPr>
        <w:spacing w:after="145" w:line="300"/>
      </w:pPr>
      <w:r>
        <w:rPr>
          <w:rFonts w:ascii="Trebuchet MS" w:cs="Trebuchet MS" w:eastAsia="Trebuchet MS" w:hAnsi="Trebuchet MS"/>
          <w:color w:val="4A3525"/>
          <w:sz w:val="20"/>
          <w:szCs w:val="20"/>
        </w:rPr>
        <w:t xml:space="preserve">In the 1960s and 70s commercial idol-makers found that Plaster of Paris was cheaper, easier to mould and able to hold finer detail. Chemical paints made idols brighter. And idols grew — ten feet, twenty, forty — because PoP could support sizes clay could not.  </w:t>
      </w:r>
      <w:r>
        <w:rPr>
          <w:rFonts w:ascii="Trebuchet MS" w:cs="Trebuchet MS" w:eastAsia="Trebuchet MS" w:hAnsi="Trebuchet MS"/>
          <w:b/>
          <w:bCs/>
          <w:color w:val="A07800"/>
          <w:sz w:val="16"/>
          <w:szCs w:val="16"/>
        </w:rPr>
        <w:t xml:space="preserve">[Pratha · 1/5]</w:t>
      </w:r>
    </w:p>
    <w:p>
      <w:pPr>
        <w:spacing w:after="145" w:line="300"/>
      </w:pPr>
      <w:r>
        <w:rPr>
          <w:rFonts w:ascii="Trebuchet MS" w:cs="Trebuchet MS" w:eastAsia="Trebuchet MS" w:hAnsi="Trebuchet MS"/>
          <w:b w:val="false"/>
          <w:bCs w:val="false"/>
          <w:i w:val="false"/>
          <w:iCs w:val="false"/>
          <w:color w:val="4A3525"/>
          <w:sz w:val="20"/>
          <w:szCs w:val="20"/>
        </w:rPr>
        <w:t xml:space="preserve">The market drove that shift, not the tradition. No text prescribes PoP, no authority mandated chemical paint, and nothing anywhere says bigger is better. The supply chain changed because it was cheaper to make and more impressive to look at.</w:t>
      </w:r>
    </w:p>
    <w:p>
      <w:pPr>
        <w:spacing w:after="110" w:before="260"/>
      </w:pPr>
      <w:r>
        <w:rPr>
          <w:rFonts w:ascii="Trebuchet MS" w:cs="Trebuchet MS" w:eastAsia="Trebuchet MS" w:hAnsi="Trebuchet MS"/>
          <w:b/>
          <w:bCs/>
          <w:color w:val="4A3525"/>
          <w:sz w:val="22"/>
          <w:szCs w:val="22"/>
        </w:rPr>
        <w:t xml:space="preserve">What you can do</w:t>
      </w:r>
    </w:p>
    <w:p>
      <w:pPr>
        <w:spacing w:after="145" w:line="300"/>
      </w:pPr>
      <w:r>
        <w:rPr>
          <w:rFonts w:ascii="Trebuchet MS" w:cs="Trebuchet MS" w:eastAsia="Trebuchet MS" w:hAnsi="Trebuchet MS"/>
          <w:b w:val="false"/>
          <w:bCs w:val="false"/>
          <w:i w:val="false"/>
          <w:iCs w:val="false"/>
          <w:color w:val="4A3525"/>
          <w:sz w:val="20"/>
          <w:szCs w:val="20"/>
        </w:rPr>
        <w:t xml:space="preserve">Buy a natural clay idol. Most cities have clay idol makers again, precisely because the demand returned. Ask for shadu mati or local natural clay. A small one runs a few hundred rupees and will look rougher and simpler than a PoP idol — which is what an idol looked like.</w:t>
      </w:r>
    </w:p>
    <w:p>
      <w:pPr>
        <w:spacing w:after="145" w:line="300"/>
      </w:pPr>
      <w:r>
        <w:rPr>
          <w:rFonts w:ascii="Trebuchet MS" w:cs="Trebuchet MS" w:eastAsia="Trebuchet MS" w:hAnsi="Trebuchet MS"/>
          <w:b w:val="false"/>
          <w:bCs w:val="false"/>
          <w:i w:val="false"/>
          <w:iCs w:val="false"/>
          <w:color w:val="4A3525"/>
          <w:sz w:val="20"/>
          <w:szCs w:val="20"/>
        </w:rPr>
        <w:t xml:space="preserve">If clay is not available, go smaller rather than synthetic. A six-inch clay idol you can dissolve in a bucket serves the ritual better than a three-foot PoP idol that will not dissolve at all.</w:t>
      </w:r>
    </w:p>
    <w:p>
      <w:pPr>
        <w:spacing w:after="145" w:line="300"/>
      </w:pPr>
      <w:r>
        <w:rPr>
          <w:rFonts w:ascii="Trebuchet MS" w:cs="Trebuchet MS" w:eastAsia="Trebuchet MS" w:hAnsi="Trebuchet MS"/>
          <w:b w:val="false"/>
          <w:bCs w:val="false"/>
          <w:i w:val="false"/>
          <w:iCs w:val="false"/>
          <w:color w:val="4A3525"/>
          <w:sz w:val="20"/>
          <w:szCs w:val="20"/>
        </w:rPr>
        <w:t xml:space="preserve">For home visarjan: fill a large clean bucket or tub, immerse the idol, and let it dissolve — natural clay takes twelve to twenty-four hours. In the morning, use the water for your plants or pour it at the base of a tree. The clay returns to the earth. That is visarjan.</w:t>
      </w:r>
    </w:p>
    <w:p>
      <w:pPr>
        <w:spacing w:after="145" w:line="300"/>
      </w:pPr>
      <w:r>
        <w:rPr>
          <w:rFonts w:ascii="Trebuchet MS" w:cs="Trebuchet MS" w:eastAsia="Trebuchet MS" w:hAnsi="Trebuchet MS"/>
          <w:b w:val="false"/>
          <w:bCs w:val="false"/>
          <w:i w:val="false"/>
          <w:iCs w:val="false"/>
          <w:color w:val="4A3525"/>
          <w:sz w:val="20"/>
          <w:szCs w:val="20"/>
        </w:rPr>
        <w:t xml:space="preserve">And avoid chemical paint. It is the paint more than the plaster that makes the water toxic. An unpainted clay idol dissolves cleanest.</w:t>
      </w:r>
    </w:p>
    <w:p>
      <w:pPr>
        <w:spacing w:after="110" w:before="260"/>
      </w:pPr>
      <w:r>
        <w:rPr>
          <w:rFonts w:ascii="Trebuchet MS" w:cs="Trebuchet MS" w:eastAsia="Trebuchet MS" w:hAnsi="Trebuchet MS"/>
          <w:b/>
          <w:bCs/>
          <w:color w:val="4A3525"/>
          <w:sz w:val="22"/>
          <w:szCs w:val="22"/>
        </w:rPr>
        <w:t xml:space="preserve">Myths &amp; Facts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300"/>
        <w:gridCol w:w="6000"/>
      </w:tblGrid>
      <w:tr>
        <w:trPr>
          <w:tblHeader/>
        </w:trPr>
        <w:tc>
          <w:tcPr>
            <w:tcW w:type="dxa" w:w="33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Myth</w:t>
            </w:r>
          </w:p>
        </w:tc>
        <w:tc>
          <w:tcPr>
            <w:tcW w:type="dxa" w:w="60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Fact</w:t>
            </w:r>
          </w:p>
        </w:tc>
      </w:tr>
      <w:tr>
        <w:trPr>
          <w:tblHeader w:val="false"/>
        </w:trPr>
        <w:tc>
          <w:tcPr>
            <w:tcW w:type="dxa" w:w="3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“Eco-friendly Ganesh Chaturthi is a modern, Western-influenced idea that dilutes the tradition.”</w:t>
            </w:r>
          </w:p>
        </w:tc>
        <w:tc>
          <w:tcPr>
            <w:tcW w:type="dxa" w:w="6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It is the reverse. Natural clay is what was used; Plaster of Paris arrived commercially about sixty years ago. Returning to clay is returning to what your grandmother used. The label is what misleads — it sounds like innovation and it is restoration.</w:t>
            </w:r>
          </w:p>
        </w:tc>
      </w:tr>
      <w:tr>
        <w:trPr>
          <w:tblHeader w:val="false"/>
        </w:trPr>
        <w:tc>
          <w:tcPr>
            <w:tcW w:type="dxa" w:w="3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“Visarjan in a bucket at home is disrespectful — it must be a river.”</w:t>
            </w:r>
          </w:p>
        </w:tc>
        <w:tc>
          <w:tcPr>
            <w:tcW w:type="dxa" w:w="6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The ritual act is the immersion — returning the consecrated form to the elements. A bucket that achieves this achieves it. What matters is that the clay dissolves and the cycle completes, not the size of the water body.</w:t>
            </w:r>
          </w:p>
        </w:tc>
      </w:tr>
    </w:tbl>
    <w:p>
      <w:pPr>
        <w:spacing w:after="190"/>
      </w:pPr>
    </w:p>
    <w:p>
      <w:pPr>
        <w:spacing w:after="110" w:before="260"/>
      </w:pPr>
      <w:r>
        <w:rPr>
          <w:rFonts w:ascii="Trebuchet MS" w:cs="Trebuchet MS" w:eastAsia="Trebuchet MS" w:hAnsi="Trebuchet MS"/>
          <w:b/>
          <w:bCs/>
          <w:color w:val="4A3525"/>
          <w:sz w:val="22"/>
          <w:szCs w:val="22"/>
        </w:rPr>
        <w:t xml:space="preserve">The reframe</w:t>
      </w:r>
    </w:p>
    <w:p>
      <w:pPr>
        <w:spacing w:after="145" w:line="300"/>
      </w:pPr>
      <w:r>
        <w:rPr>
          <w:rFonts w:ascii="Trebuchet MS" w:cs="Trebuchet MS" w:eastAsia="Trebuchet MS" w:hAnsi="Trebuchet MS"/>
          <w:b w:val="false"/>
          <w:bCs w:val="false"/>
          <w:i w:val="false"/>
          <w:iCs w:val="false"/>
          <w:color w:val="4A3525"/>
          <w:sz w:val="20"/>
          <w:szCs w:val="20"/>
        </w:rPr>
        <w:t xml:space="preserve">Eco-friendly is the wrong phrase. It frames the choice as activism — as though you were doing the planet a favour by choosing clay. You are not doing the planet a favour. You are doing the ritual a favour.</w:t>
      </w:r>
    </w:p>
    <w:p>
      <w:pPr>
        <w:spacing w:after="145" w:line="300"/>
      </w:pPr>
      <w:r>
        <w:rPr>
          <w:rFonts w:ascii="Trebuchet MS" w:cs="Trebuchet MS" w:eastAsia="Trebuchet MS" w:hAnsi="Trebuchet MS"/>
          <w:b w:val="false"/>
          <w:bCs w:val="false"/>
          <w:i w:val="false"/>
          <w:iCs w:val="false"/>
          <w:color w:val="4A3525"/>
          <w:sz w:val="20"/>
          <w:szCs w:val="20"/>
        </w:rPr>
        <w:t xml:space="preserve">The clay idol dissolves because it was always meant to dissolve. That dissolution is not a limitation of the material — it is the teaching. He arrives, he stays, he returns. The clay follows him. That cycle only works if the material lets it.</w:t>
      </w:r>
    </w:p>
    <w:p>
      <w:pPr>
        <w:spacing w:after="110" w:before="260"/>
      </w:pPr>
      <w:r>
        <w:rPr>
          <w:rFonts w:ascii="Trebuchet MS" w:cs="Trebuchet MS" w:eastAsia="Trebuchet MS" w:hAnsi="Trebuchet MS"/>
          <w:b/>
          <w:bCs/>
          <w:color w:val="4A3525"/>
          <w:sz w:val="22"/>
          <w:szCs w:val="22"/>
        </w:rPr>
        <w:t xml:space="preserve">Related</w:t>
      </w:r>
    </w:p>
    <w:p>
      <w:pPr>
        <w:spacing w:after="70" w:line="300"/>
      </w:pPr>
      <w:r>
        <w:rPr>
          <w:rFonts w:ascii="Trebuchet MS" w:cs="Trebuchet MS" w:eastAsia="Trebuchet MS" w:hAnsi="Trebuchet MS"/>
          <w:b/>
          <w:bCs/>
          <w:i w:val="false"/>
          <w:iCs w:val="false"/>
          <w:color w:val="4A3525"/>
          <w:sz w:val="20"/>
          <w:szCs w:val="20"/>
        </w:rPr>
        <w:t xml:space="preserve">Related Ritual Guides</w:t>
      </w:r>
    </w:p>
    <w:p>
      <w:pPr>
        <w:pStyle w:val="ListParagraph"/>
        <w:numPr>
          <w:ilvl w:val="0"/>
          <w:numId w:val="1"/>
        </w:numPr>
        <w:spacing w:after="95" w:line="300"/>
      </w:pPr>
      <w:r>
        <w:rPr>
          <w:rFonts w:ascii="Trebuchet MS" w:cs="Trebuchet MS" w:eastAsia="Trebuchet MS" w:hAnsi="Trebuchet MS"/>
          <w:color w:val="4A3525"/>
          <w:sz w:val="20"/>
          <w:szCs w:val="20"/>
        </w:rPr>
        <w:t xml:space="preserve">Ganesh Chaturthi: The Complete 10-Day Guide</w:t>
      </w:r>
    </w:p>
    <w:p>
      <w:pPr>
        <w:spacing w:after="70" w:line="300"/>
      </w:pPr>
      <w:r>
        <w:rPr>
          <w:rFonts w:ascii="Trebuchet MS" w:cs="Trebuchet MS" w:eastAsia="Trebuchet MS" w:hAnsi="Trebuchet MS"/>
          <w:b/>
          <w:bCs/>
          <w:i w:val="false"/>
          <w:iCs w:val="false"/>
          <w:color w:val="4A3525"/>
          <w:sz w:val="20"/>
          <w:szCs w:val="20"/>
        </w:rPr>
        <w:t xml:space="preserve">Related Pujans</w:t>
      </w:r>
    </w:p>
    <w:p>
      <w:pPr>
        <w:pStyle w:val="ListParagraph"/>
        <w:numPr>
          <w:ilvl w:val="0"/>
          <w:numId w:val="1"/>
        </w:numPr>
        <w:spacing w:after="95" w:line="300"/>
      </w:pPr>
      <w:r>
        <w:rPr>
          <w:rFonts w:ascii="Trebuchet MS" w:cs="Trebuchet MS" w:eastAsia="Trebuchet MS" w:hAnsi="Trebuchet MS"/>
          <w:color w:val="4A3525"/>
          <w:sz w:val="20"/>
          <w:szCs w:val="20"/>
        </w:rPr>
        <w:t xml:space="preserve">Ganesh Sthapana — bookable</w:t>
      </w:r>
    </w:p>
    <w:p>
      <w:pPr>
        <w:spacing w:after="70" w:line="300"/>
      </w:pPr>
      <w:r>
        <w:rPr>
          <w:rFonts w:ascii="Trebuchet MS" w:cs="Trebuchet MS" w:eastAsia="Trebuchet MS" w:hAnsi="Trebuchet MS"/>
          <w:b/>
          <w:bCs/>
          <w:i w:val="false"/>
          <w:iCs w:val="false"/>
          <w:color w:val="4A3525"/>
          <w:sz w:val="20"/>
          <w:szCs w:val="20"/>
        </w:rPr>
        <w:t xml:space="preserve">Related Concepts</w:t>
      </w:r>
    </w:p>
    <w:p>
      <w:pPr>
        <w:pStyle w:val="ListParagraph"/>
        <w:numPr>
          <w:ilvl w:val="0"/>
          <w:numId w:val="1"/>
        </w:numPr>
        <w:spacing w:after="95" w:line="300"/>
      </w:pPr>
      <w:r>
        <w:rPr>
          <w:rFonts w:ascii="Trebuchet MS" w:cs="Trebuchet MS" w:eastAsia="Trebuchet MS" w:hAnsi="Trebuchet MS"/>
          <w:color w:val="4A3525"/>
          <w:sz w:val="20"/>
          <w:szCs w:val="20"/>
        </w:rPr>
        <w:t xml:space="preserve">Why Does Ganesha Have an Elephant Head? · Why Is Durva Offered to Ganesha?</w:t>
      </w:r>
    </w:p>
    <w:p>
      <w:pPr>
        <w:spacing w:after="70" w:line="300"/>
      </w:pPr>
      <w:r>
        <w:rPr>
          <w:rFonts w:ascii="Trebuchet MS" w:cs="Trebuchet MS" w:eastAsia="Trebuchet MS" w:hAnsi="Trebuchet MS"/>
          <w:b/>
          <w:bCs/>
          <w:i w:val="false"/>
          <w:iCs w:val="false"/>
          <w:color w:val="4A3525"/>
          <w:sz w:val="20"/>
          <w:szCs w:val="20"/>
        </w:rPr>
        <w:t xml:space="preserve">Related Dates</w:t>
      </w:r>
    </w:p>
    <w:p>
      <w:pPr>
        <w:pStyle w:val="ListParagraph"/>
        <w:numPr>
          <w:ilvl w:val="0"/>
          <w:numId w:val="1"/>
        </w:numPr>
        <w:spacing w:after="95" w:line="300"/>
      </w:pPr>
      <w:r>
        <w:rPr>
          <w:rFonts w:ascii="Trebuchet MS" w:cs="Trebuchet MS" w:eastAsia="Trebuchet MS" w:hAnsi="Trebuchet MS"/>
          <w:color w:val="4A3525"/>
          <w:sz w:val="20"/>
          <w:szCs w:val="20"/>
        </w:rPr>
        <w:t xml:space="preserve">Bhadrapada panchang</w:t>
      </w:r>
    </w:p>
    <w:p>
      <w:pPr>
        <w:spacing w:after="110" w:before="260"/>
      </w:pPr>
      <w:r>
        <w:rPr>
          <w:rFonts w:ascii="Trebuchet MS" w:cs="Trebuchet MS" w:eastAsia="Trebuchet MS" w:hAnsi="Trebuchet MS"/>
          <w:b/>
          <w:bCs/>
          <w:color w:val="4A3525"/>
          <w:sz w:val="22"/>
          <w:szCs w:val="22"/>
        </w:rPr>
        <w:t xml:space="preserve">Commerce</w:t>
      </w:r>
    </w:p>
    <w:p>
      <w:pPr>
        <w:spacing w:after="170" w:before="140" w:line="290"/>
        <w:ind w:left="200"/>
      </w:pPr>
      <w:r>
        <w:rPr>
          <w:rFonts w:ascii="Trebuchet MS" w:cs="Trebuchet MS" w:eastAsia="Trebuchet MS" w:hAnsi="Trebuchet MS"/>
          <w:i/>
          <w:iCs/>
          <w:color w:val="8A7B68"/>
          <w:sz w:val="17"/>
          <w:szCs w:val="17"/>
        </w:rPr>
        <w:t xml:space="preserve">None. Note: this article argues about materials and sits one click from a kit. Keep it CTA-free — an article making a material argument must not appear to be selling a material.</w:t>
      </w:r>
    </w:p>
    <w:p>
      <w:pPr>
        <w:pBdr>
          <w:top w:val="single" w:color="E5DED0" w:sz="6" w:space="12"/>
        </w:pBdr>
        <w:spacing w:after="60" w:before="450"/>
        <w:jc w:val="center"/>
      </w:pPr>
      <w:r>
        <w:rPr>
          <w:rFonts w:ascii="Trebuchet MS" w:cs="Trebuchet MS" w:eastAsia="Trebuchet MS" w:hAnsi="Trebuchet MS"/>
          <w:color w:val="4A3525"/>
          <w:sz w:val="18"/>
          <w:szCs w:val="18"/>
        </w:rPr>
        <w:t xml:space="preserve">तप् · The Tapa Co. · the tapa company</w:t>
      </w:r>
    </w:p>
    <w:p>
      <w:pPr>
        <w:jc w:val="center"/>
      </w:pPr>
      <w:r>
        <w:rPr>
          <w:rFonts w:ascii="Trebuchet MS" w:cs="Trebuchet MS" w:eastAsia="Trebuchet MS" w:hAnsi="Trebuchet MS"/>
          <w:color w:val="8A7B68"/>
          <w:sz w:val="16"/>
          <w:szCs w:val="16"/>
        </w:rPr>
        <w:t xml:space="preserve">© 2026 Komal Gupta. All rights reserved. · Dharmic Concept — Clay Was the Original</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ebuchet MS" w:cs="Trebuchet MS" w:eastAsia="Trebuchet MS" w:hAnsi="Trebuchet MS"/>
        <w:color w:val="4A352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2026-08-09T16:25:56.582Z</dcterms:created>
  <dcterms:modified xsi:type="dcterms:W3CDTF">2026-08-09T16:25:56.582Z</dcterms:modified>
</cp:coreProperties>
</file>

<file path=docProps/custom.xml><?xml version="1.0" encoding="utf-8"?>
<Properties xmlns="http://schemas.openxmlformats.org/officeDocument/2006/custom-properties" xmlns:vt="http://schemas.openxmlformats.org/officeDocument/2006/docPropsVTypes"/>
</file>