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BEGINNER’S GUIDE</w:t>
      </w:r>
    </w:p>
    <w:p>
      <w:pPr>
        <w:spacing w:after="70" w:line="300"/>
      </w:pPr>
      <w:r>
        <w:rPr>
          <w:rFonts w:ascii="Trebuchet MS" w:cs="Trebuchet MS" w:eastAsia="Trebuchet MS" w:hAnsi="Trebuchet MS"/>
          <w:b/>
          <w:bCs/>
          <w:i w:val="false"/>
          <w:iCs w:val="false"/>
          <w:color w:val="4A3525"/>
          <w:sz w:val="28"/>
          <w:szCs w:val="28"/>
        </w:rPr>
        <w:t xml:space="preserve">Ramcharitmanas: The Seven Kandas Explained</w:t>
      </w:r>
    </w:p>
    <w:p>
      <w:pPr>
        <w:spacing w:after="60" w:line="300"/>
      </w:pPr>
      <w:r>
        <w:rPr>
          <w:rFonts w:ascii="Trebuchet MS" w:cs="Trebuchet MS" w:eastAsia="Trebuchet MS" w:hAnsi="Trebuchet MS"/>
          <w:b w:val="false"/>
          <w:bCs w:val="false"/>
          <w:i/>
          <w:iCs/>
          <w:color w:val="8A7B68"/>
          <w:sz w:val="20"/>
          <w:szCs w:val="20"/>
        </w:rPr>
        <w:t xml:space="preserve">What each section contains, why each matters, and where Sundarkand fits</w:t>
      </w:r>
    </w:p>
    <w:p>
      <w:pPr>
        <w:spacing w:after="145" w:line="300"/>
      </w:pPr>
      <w:r>
        <w:rPr>
          <w:rFonts w:ascii="Trebuchet MS" w:cs="Trebuchet MS" w:eastAsia="Trebuchet MS" w:hAnsi="Trebuchet MS"/>
          <w:b w:val="false"/>
          <w:bCs w:val="false"/>
          <w:i/>
          <w:iCs/>
          <w:color w:val="8A7B68"/>
          <w:sz w:val="18"/>
          <w:szCs w:val="18"/>
        </w:rPr>
        <w:t xml:space="preserve">Evergreen · Sits under Ritual Guides in navigation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Beginner’s Guide rules: no DPB tags, no Confidence Score, no citations, no commerce CTA. This is orientation — a map before the journey.</w:t>
      </w: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Read the detailed ritual guide → Sundarkand Path: Complete Home Puja Vidhi</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Role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piece exists to place Sundarkand in its context. Someone arriving at Sundarkand cold does not know it is the fifth of seven, and that is the first thing they need.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None.</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The map before the journey</w:t>
      </w:r>
    </w:p>
    <w:p>
      <w:pPr>
        <w:spacing w:after="145" w:line="300"/>
      </w:pPr>
      <w:r>
        <w:rPr>
          <w:rFonts w:ascii="Trebuchet MS" w:cs="Trebuchet MS" w:eastAsia="Trebuchet MS" w:hAnsi="Trebuchet MS"/>
          <w:b w:val="false"/>
          <w:bCs w:val="false"/>
          <w:i w:val="false"/>
          <w:iCs w:val="false"/>
          <w:color w:val="4A3525"/>
          <w:sz w:val="20"/>
          <w:szCs w:val="20"/>
        </w:rPr>
        <w:t xml:space="preserve">The Ramcharitmanas is Tulsidas’s retelling of the Ramayana in Awadhi, and it is divided into seven sections called kandas. Each covers a phase of Ram’s story.</w:t>
      </w:r>
    </w:p>
    <w:p>
      <w:pPr>
        <w:spacing w:after="145" w:line="300"/>
      </w:pPr>
      <w:r>
        <w:rPr>
          <w:rFonts w:ascii="Trebuchet MS" w:cs="Trebuchet MS" w:eastAsia="Trebuchet MS" w:hAnsi="Trebuchet MS"/>
          <w:b w:val="false"/>
          <w:bCs w:val="false"/>
          <w:i w:val="false"/>
          <w:iCs w:val="false"/>
          <w:color w:val="4A3525"/>
          <w:sz w:val="20"/>
          <w:szCs w:val="20"/>
        </w:rPr>
        <w:t xml:space="preserve">If you are starting with Sundarkand — as most people do — this shows you where it sits and what surrounds it.</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DESIGNED INFOGRAPHIC — not a photograph.</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Seven blocks in a horizontal sequence, numbered one to seven, each labelled with its kanda name in English and Devanagari and a two- or three-word description. The fifth block, Sundarkand, picked out in an accent colour.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Cream ground, saffron blocks, rose accent on the fifth</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Seven kandas. Sundarkand is the fifth — and the one most people start with.</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imagery. Devanagari set by the designer, never 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seven kandas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
            </w:r>
          </w:p>
        </w:tc>
        <w:tc>
          <w:tcPr>
            <w:tcW w:type="dxa" w:w="1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Kanda</w:t>
            </w:r>
          </w:p>
        </w:tc>
        <w:tc>
          <w:tcPr>
            <w:tcW w:type="dxa" w:w="6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What it contains</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Bala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Ram’s birth and childhood, the breaking of Shiva’s bow, the marriage to Sita.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Ayodhya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exile. Dasharatha’s promise, Kaikeyi’s demand, the departure for the forest, Bharat’s refusal of the throne.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Aranya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forest years. Shurpanakha, the golden deer, the abduction of Sita, Jatayu.</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Kishkindha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alliance with the vanaras. Sugriva, Vali, and the decision to send Hanuman south.</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Sundarkand</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alone. The leap to Lanka, the search, finding Sita, the burning of Lanka, the return.</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6</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Lanka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war. The bridge, the battle, Ravana, the return to Ayodhya.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w:t>
            </w:r>
          </w:p>
        </w:tc>
        <w:tc>
          <w:tcPr>
            <w:tcW w:type="dxa" w:w="1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Uttar Kanda</w:t>
            </w:r>
          </w:p>
        </w:tc>
        <w:tc>
          <w:tcPr>
            <w:tcW w:type="dxa" w:w="6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After the return. Ram’s reign, and Tulsidas’s closing teachings.</w:t>
            </w:r>
          </w:p>
        </w:tc>
      </w:tr>
    </w:tbl>
    <w:p>
      <w:pPr>
        <w:spacing w:after="190"/>
      </w:pPr>
    </w:p>
    <w:p>
      <w:pPr>
        <w:spacing w:after="110" w:before="260"/>
      </w:pPr>
      <w:r>
        <w:rPr>
          <w:rFonts w:ascii="Trebuchet MS" w:cs="Trebuchet MS" w:eastAsia="Trebuchet MS" w:hAnsi="Trebuchet MS"/>
          <w:b/>
          <w:bCs/>
          <w:color w:val="4A3525"/>
          <w:sz w:val="22"/>
          <w:szCs w:val="22"/>
        </w:rPr>
        <w:t xml:space="preserve">Why Sundarkand is the one people recite</w:t>
      </w:r>
    </w:p>
    <w:p>
      <w:pPr>
        <w:spacing w:after="145" w:line="300"/>
      </w:pPr>
      <w:r>
        <w:rPr>
          <w:rFonts w:ascii="Trebuchet MS" w:cs="Trebuchet MS" w:eastAsia="Trebuchet MS" w:hAnsi="Trebuchet MS"/>
          <w:b w:val="false"/>
          <w:bCs w:val="false"/>
          <w:i w:val="false"/>
          <w:iCs w:val="false"/>
          <w:color w:val="4A3525"/>
          <w:sz w:val="20"/>
          <w:szCs w:val="20"/>
        </w:rPr>
        <w:t xml:space="preserve">Every other kanda is about Ram. Sundarkand is about a devotee — sent on an errand nobody was sure could be completed, with no army, no certainty and no way back if it went wrong.</w:t>
      </w:r>
    </w:p>
    <w:p>
      <w:pPr>
        <w:spacing w:after="145" w:line="300"/>
      </w:pPr>
      <w:r>
        <w:rPr>
          <w:rFonts w:ascii="Trebuchet MS" w:cs="Trebuchet MS" w:eastAsia="Trebuchet MS" w:hAnsi="Trebuchet MS"/>
          <w:b w:val="false"/>
          <w:bCs w:val="false"/>
          <w:i w:val="false"/>
          <w:iCs w:val="false"/>
          <w:color w:val="4A3525"/>
          <w:sz w:val="20"/>
          <w:szCs w:val="20"/>
        </w:rPr>
        <w:t xml:space="preserve">It is also the only kanda that ends entirely in success. Nothing is lost in it. The exile is not reversed, the war has not started, and for the length of one section a difficult thing is attempted and simply works. That is a reasonable thing to want to read aloud on a Tuesday evening.</w:t>
      </w:r>
    </w:p>
    <w:p>
      <w:pPr>
        <w:spacing w:after="110" w:before="260"/>
      </w:pPr>
      <w:r>
        <w:rPr>
          <w:rFonts w:ascii="Trebuchet MS" w:cs="Trebuchet MS" w:eastAsia="Trebuchet MS" w:hAnsi="Trebuchet MS"/>
          <w:b/>
          <w:bCs/>
          <w:color w:val="4A3525"/>
          <w:sz w:val="22"/>
          <w:szCs w:val="22"/>
        </w:rPr>
        <w:t xml:space="preserve">Where to start</w:t>
      </w:r>
    </w:p>
    <w:p>
      <w:pPr>
        <w:spacing w:after="145" w:line="300"/>
      </w:pPr>
      <w:r>
        <w:rPr>
          <w:rFonts w:ascii="Trebuchet MS" w:cs="Trebuchet MS" w:eastAsia="Trebuchet MS" w:hAnsi="Trebuchet MS"/>
          <w:b w:val="false"/>
          <w:bCs w:val="false"/>
          <w:i w:val="false"/>
          <w:iCs w:val="false"/>
          <w:color w:val="4A3525"/>
          <w:sz w:val="20"/>
          <w:szCs w:val="20"/>
        </w:rPr>
        <w:t xml:space="preserve">You do not need to read the first four kandas before Sundarkand. Most households that recite it weekly have never read the Uttar Kanda at all.</w:t>
      </w:r>
    </w:p>
    <w:p>
      <w:pPr>
        <w:spacing w:after="145" w:line="300"/>
      </w:pPr>
      <w:r>
        <w:rPr>
          <w:rFonts w:ascii="Trebuchet MS" w:cs="Trebuchet MS" w:eastAsia="Trebuchet MS" w:hAnsi="Trebuchet MS"/>
          <w:b w:val="false"/>
          <w:bCs w:val="false"/>
          <w:i w:val="false"/>
          <w:iCs w:val="false"/>
          <w:color w:val="4A3525"/>
          <w:sz w:val="20"/>
          <w:szCs w:val="20"/>
        </w:rPr>
        <w:t xml:space="preserve">If you want the story in order, start at Bala Kanda and read at your own pace. If you want to begin the practice, start at Sundarkand.</w:t>
      </w:r>
    </w:p>
    <w:p>
      <w:pPr>
        <w:spacing w:after="110" w:before="260"/>
      </w:pPr>
      <w:r>
        <w:rPr>
          <w:rFonts w:ascii="Trebuchet MS" w:cs="Trebuchet MS" w:eastAsia="Trebuchet MS" w:hAnsi="Trebuchet MS"/>
          <w:b/>
          <w:bCs/>
          <w:color w:val="4A3525"/>
          <w:sz w:val="22"/>
          <w:szCs w:val="22"/>
        </w:rPr>
        <w:t xml:space="preserve">Common worries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Worry</w:t>
            </w:r>
          </w:p>
        </w:tc>
        <w:tc>
          <w:tcPr>
            <w:tcW w:type="dxa" w:w="6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Answer</w:t>
            </w:r>
          </w:p>
        </w:tc>
      </w:tr>
      <w:tr>
        <w:trPr>
          <w:tblHeader w:val="false"/>
        </w:trPr>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“Should I read the whole thing first?”</w:t>
            </w:r>
          </w:p>
        </w:tc>
        <w:tc>
          <w:tcPr>
            <w:tcW w:type="dxa" w:w="6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Starting at Sundarkand is the normal way in.</w:t>
            </w:r>
          </w:p>
        </w:tc>
      </w:tr>
      <w:tr>
        <w:trPr>
          <w:tblHeader w:val="false"/>
        </w:trPr>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“Is the Ramcharitmanas the same as the Ramayana?”</w:t>
            </w:r>
          </w:p>
        </w:tc>
        <w:tc>
          <w:tcPr>
            <w:tcW w:type="dxa" w:w="6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is a retelling. Valmiki’s Ramayana is the older Sanskrit epic; Tulsidas wrote the Ramcharitmanas in Awadhi in the sixteenth century so that people without Sanskrit could read it. Both are read; they are different books.</w:t>
            </w:r>
          </w:p>
        </w:tc>
      </w:tr>
      <w:tr>
        <w:trPr>
          <w:tblHeader w:val="false"/>
        </w:trPr>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“Which edition should I buy?”</w:t>
            </w:r>
          </w:p>
        </w:tc>
        <w:tc>
          <w:tcPr>
            <w:tcW w:type="dxa" w:w="6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Gita Press Gorakhpur edition is the standard one and is inexpensive. Any edition with a transliteration you can read is fine.</w:t>
            </w:r>
          </w:p>
        </w:tc>
      </w:tr>
    </w:tbl>
    <w:p>
      <w:pPr>
        <w:spacing w:after="190"/>
      </w:pPr>
    </w:p>
    <w:p>
      <w:pPr>
        <w:spacing w:after="110" w:before="260"/>
      </w:pPr>
      <w:r>
        <w:rPr>
          <w:rFonts w:ascii="Trebuchet MS" w:cs="Trebuchet MS" w:eastAsia="Trebuchet MS" w:hAnsi="Trebuchet MS"/>
          <w:b/>
          <w:bCs/>
          <w:color w:val="4A3525"/>
          <w:sz w:val="22"/>
          <w:szCs w:val="22"/>
        </w:rPr>
        <w:t xml:space="preserve">What to read next</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Complete Home Puja Vidhi · Hanuman Chalisa</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for Beginners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Ram Navami</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Beginner’s Guide — The Seven Kandas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2026-08-09T17:29:41.315Z</dcterms:created>
  <dcterms:modified xsi:type="dcterms:W3CDTF">2026-08-09T17:29:41.315Z</dcterms:modified>
</cp:coreProperties>
</file>

<file path=docProps/custom.xml><?xml version="1.0" encoding="utf-8"?>
<Properties xmlns="http://schemas.openxmlformats.org/officeDocument/2006/custom-properties" xmlns:vt="http://schemas.openxmlformats.org/officeDocument/2006/docPropsVTypes"/>
</file>