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</w:pPr>
      <w:r>
        <w:rPr>
          <w:rFonts w:ascii="Trebuchet MS" w:cs="Trebuchet MS" w:eastAsia="Trebuchet MS" w:hAnsi="Trebuchet MS"/>
          <w:b/>
          <w:bCs/>
          <w:i w:val="false"/>
          <w:iCs w:val="false"/>
          <w:color w:val="EF0F54"/>
          <w:sz w:val="18"/>
          <w:szCs w:val="18"/>
        </w:rPr>
        <w:t xml:space="preserve">BEGINNER’S GUIDE</w:t>
      </w:r>
    </w:p>
    <w:p>
      <w:pPr>
        <w:spacing w:after="70" w:line="300"/>
      </w:pPr>
      <w:r>
        <w:rPr>
          <w:rFonts w:ascii="Trebuchet MS" w:cs="Trebuchet MS" w:eastAsia="Trebuchet MS" w:hAnsi="Trebuchet MS"/>
          <w:b/>
          <w:bCs/>
          <w:i w:val="false"/>
          <w:iCs w:val="false"/>
          <w:color w:val="4A3525"/>
          <w:sz w:val="28"/>
          <w:szCs w:val="28"/>
        </w:rPr>
        <w:t xml:space="preserve">Sundarkand for Beginners: Where to Start If You Have Never Done a Path</w:t>
      </w:r>
    </w:p>
    <w:p>
      <w:pPr>
        <w:spacing w:after="60" w:line="300"/>
      </w:pPr>
      <w:r>
        <w:rPr>
          <w:rFonts w:ascii="Trebuchet MS" w:cs="Trebuchet MS" w:eastAsia="Trebuchet MS" w:hAnsi="Trebuchet MS"/>
          <w:b w:val="false"/>
          <w:bCs w:val="false"/>
          <w:i/>
          <w:iCs/>
          <w:color w:val="8A7B68"/>
          <w:sz w:val="20"/>
          <w:szCs w:val="20"/>
        </w:rPr>
        <w:t xml:space="preserve">No Sanskrit needed. No prior knowledge. Just a book, a lamp, and this guide.</w:t>
      </w:r>
    </w:p>
    <w:p>
      <w:pPr>
        <w:spacing w:after="145" w:line="300"/>
      </w:pPr>
      <w:r>
        <w:rPr>
          <w:rFonts w:ascii="Trebuchet MS" w:cs="Trebuchet MS" w:eastAsia="Trebuchet MS" w:hAnsi="Trebuchet MS"/>
          <w:b w:val="false"/>
          <w:bCs w:val="false"/>
          <w:i/>
          <w:iCs/>
          <w:color w:val="8A7B68"/>
          <w:sz w:val="18"/>
          <w:szCs w:val="18"/>
        </w:rPr>
        <w:t xml:space="preserve">Evergreen · Sits under Ritual Guides in navigation · Stage 1 editorial draft</w:t>
      </w:r>
    </w:p>
    <w:p>
      <w:pPr>
        <w:spacing w:after="190"/>
      </w:pPr>
    </w:p>
    <w:p>
      <w:pPr>
        <w:pBdr>
          <w:bottom w:val="single" w:color="B8860B" w:sz="12" w:space="8"/>
        </w:pBdr>
        <w:spacing w:after="180" w:before="380"/>
      </w:pPr>
      <w:r>
        <w:rPr>
          <w:rFonts w:ascii="Trebuchet MS" w:cs="Trebuchet MS" w:eastAsia="Trebuchet MS" w:hAnsi="Trebuchet MS"/>
          <w:b/>
          <w:bCs/>
          <w:color w:val="EF0F54"/>
          <w:sz w:val="26"/>
          <w:szCs w:val="26"/>
        </w:rPr>
        <w:t xml:space="preserve">PART A — Backend</w:t>
      </w:r>
    </w:p>
    <w:p>
      <w:pPr>
        <w:spacing w:after="170" w:before="140" w:line="290"/>
        <w:ind w:left="200"/>
      </w:pPr>
      <w:r>
        <w:rPr>
          <w:rFonts w:ascii="Trebuchet MS" w:cs="Trebuchet MS" w:eastAsia="Trebuchet MS" w:hAnsi="Trebuchet MS"/>
          <w:i/>
          <w:iCs/>
          <w:color w:val="8A7B68"/>
          <w:sz w:val="17"/>
          <w:szCs w:val="17"/>
        </w:rPr>
        <w:t xml:space="preserve">Beginner’s Guide rules: no DPB tags, no Confidence Score, no citations, no commerce CTA. Sits under Ritual Guides in navigation; the content type is unchanged by that.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Sourcing behind the plain language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Statement here</w:t>
            </w:r>
          </w:p>
        </w:tc>
        <w:tc>
          <w:tcPr>
            <w:tcW w:type="dxa" w:w="59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Sourced in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What Sundarkand is and what happens in it</w:t>
            </w:r>
          </w:p>
        </w:tc>
        <w:tc>
          <w:tcPr>
            <w:tcW w:type="dxa" w:w="59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Sundarkand Path: Complete Home Puja Vidhi — Dharma 4/5, Valmiki Ramayana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The recitation sequence</w:t>
            </w:r>
          </w:p>
        </w:tc>
        <w:tc>
          <w:tcPr>
            <w:tcW w:type="dxa" w:w="59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Same guide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“You can split it across days”</w:t>
            </w:r>
          </w:p>
        </w:tc>
        <w:tc>
          <w:tcPr>
            <w:tcW w:type="dxa" w:w="59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Same guide — tagged Pratha there, so no rule is implied here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“No pandit needed”</w:t>
            </w:r>
          </w:p>
        </w:tc>
        <w:tc>
          <w:tcPr>
            <w:tcW w:type="dxa" w:w="59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The Bhranti correction in that guide</w:t>
            </w:r>
          </w:p>
        </w:tc>
      </w:tr>
    </w:tbl>
    <w:p>
      <w:pPr>
        <w:spacing w:after="190"/>
      </w:pP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Connections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Component</w:t>
            </w:r>
          </w:p>
        </w:tc>
        <w:tc>
          <w:tcPr>
            <w:tcW w:type="dxa" w:w="73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Companion button</w:t>
            </w:r>
          </w:p>
        </w:tc>
        <w:tc>
          <w:tcPr>
            <w:tcW w:type="dxa" w:w="7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Read the detailed ritual guide → Sundarkand Path: Complete Home Puja Vidhi. Add the reciprocal button to that guide.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Commerce</w:t>
            </w:r>
          </w:p>
        </w:tc>
        <w:tc>
          <w:tcPr>
            <w:tcW w:type="dxa" w:w="7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None.</w:t>
            </w:r>
          </w:p>
        </w:tc>
      </w:tr>
    </w:tbl>
    <w:p>
      <w:r>
        <w:br w:type="page"/>
      </w:r>
    </w:p>
    <w:p>
      <w:pPr>
        <w:pBdr>
          <w:bottom w:val="single" w:color="B8860B" w:sz="12" w:space="8"/>
        </w:pBdr>
        <w:spacing w:after="180" w:before="380"/>
      </w:pPr>
      <w:r>
        <w:rPr>
          <w:rFonts w:ascii="Trebuchet MS" w:cs="Trebuchet MS" w:eastAsia="Trebuchet MS" w:hAnsi="Trebuchet MS"/>
          <w:b/>
          <w:bCs/>
          <w:color w:val="EF0F54"/>
          <w:sz w:val="26"/>
          <w:szCs w:val="26"/>
        </w:rPr>
        <w:t xml:space="preserve">PART B — Article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Companion button</w:t>
      </w:r>
    </w:p>
    <w:p>
      <w:pPr>
        <w:spacing w:after="170" w:before="140" w:line="290"/>
        <w:ind w:left="200"/>
      </w:pPr>
      <w:r>
        <w:rPr>
          <w:rFonts w:ascii="Trebuchet MS" w:cs="Trebuchet MS" w:eastAsia="Trebuchet MS" w:hAnsi="Trebuchet MS"/>
          <w:i/>
          <w:iCs/>
          <w:color w:val="8A7B68"/>
          <w:sz w:val="17"/>
          <w:szCs w:val="17"/>
        </w:rPr>
        <w:t xml:space="preserve">Under the title, quiet styling: “Read the detailed ritual guide”.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You have heard people do this. Now you want to.</w:t>
      </w:r>
    </w:p>
    <w:p>
      <w:pPr>
        <w:spacing w:after="145" w:line="300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4A3525"/>
          <w:sz w:val="20"/>
          <w:szCs w:val="20"/>
        </w:rPr>
        <w:t xml:space="preserve">Maybe you have sat through a Sundarkand path at a relative’s house. Maybe you have heard it from a neighbour’s flat on a Tuesday evening. It sounds long, it sounds like something people who know what they are doing do, and you have never opened the book yourself.</w:t>
      </w:r>
    </w:p>
    <w:p>
      <w:pPr>
        <w:spacing w:after="145" w:line="300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4A3525"/>
          <w:sz w:val="20"/>
          <w:szCs w:val="20"/>
        </w:rPr>
        <w:t xml:space="preserve">Here is the honest version: you need a book, a lamp, and about an hour and a half. That is the whole barrier.</w:t>
      </w:r>
    </w:p>
    <w:p>
      <w:pPr>
        <w:spacing w:after="80" w:before="170"/>
      </w:pPr>
      <w:r>
        <w:rPr>
          <w:rFonts w:ascii="Trebuchet MS" w:cs="Trebuchet MS" w:eastAsia="Trebuchet MS" w:hAnsi="Trebuchet MS"/>
          <w:b/>
          <w:bCs/>
          <w:color w:val="B8860B"/>
          <w:sz w:val="18"/>
          <w:szCs w:val="18"/>
        </w:rPr>
        <w:t xml:space="preserve">──  IMAGE 1  ──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00"/>
      </w:tblGrid>
      <w:tr>
        <w:tc>
          <w:tcPr>
            <w:tcW w:type="dxa" w:w="1600"/>
            <w:shd w:fill="F8F5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6"/>
                <w:szCs w:val="16"/>
              </w:rPr>
              <w:t xml:space="preserve">Tier</w:t>
            </w:r>
          </w:p>
        </w:tc>
        <w:tc>
          <w:tcPr>
            <w:tcW w:type="dxa" w:w="7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color w:val="4A3525"/>
                <w:sz w:val="16"/>
                <w:szCs w:val="16"/>
              </w:rPr>
              <w:t xml:space="preserve">AI-generated</w:t>
            </w:r>
          </w:p>
        </w:tc>
      </w:tr>
      <w:tr>
        <w:tc>
          <w:tcPr>
            <w:tcW w:type="dxa" w:w="1600"/>
            <w:shd w:fill="F8F5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6"/>
                <w:szCs w:val="16"/>
              </w:rPr>
              <w:t xml:space="preserve">Subject</w:t>
            </w:r>
          </w:p>
        </w:tc>
        <w:tc>
          <w:tcPr>
            <w:tcW w:type="dxa" w:w="7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color w:val="4A3525"/>
                <w:sz w:val="16"/>
                <w:szCs w:val="16"/>
              </w:rPr>
              <w:t xml:space="preserve">A simple setup on a floor mat — an open Ramcharitmanas on a low stand, a small lamp, a marigold. A modest room. The sense that this is achievable.</w:t>
            </w:r>
          </w:p>
        </w:tc>
      </w:tr>
      <w:tr>
        <w:tc>
          <w:tcPr>
            <w:tcW w:type="dxa" w:w="1600"/>
            <w:shd w:fill="F8F5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6"/>
                <w:szCs w:val="16"/>
              </w:rPr>
              <w:t xml:space="preserve">Palette</w:t>
            </w:r>
          </w:p>
        </w:tc>
        <w:tc>
          <w:tcPr>
            <w:tcW w:type="dxa" w:w="7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color w:val="4A3525"/>
                <w:sz w:val="16"/>
                <w:szCs w:val="16"/>
              </w:rPr>
              <w:t xml:space="preserve">Warm domestic light, saffron, brass</w:t>
            </w:r>
          </w:p>
        </w:tc>
      </w:tr>
      <w:tr>
        <w:tc>
          <w:tcPr>
            <w:tcW w:type="dxa" w:w="1600"/>
            <w:shd w:fill="F8F5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6"/>
                <w:szCs w:val="16"/>
              </w:rPr>
              <w:t xml:space="preserve">Caption</w:t>
            </w:r>
          </w:p>
        </w:tc>
        <w:tc>
          <w:tcPr>
            <w:tcW w:type="dxa" w:w="7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color w:val="4A3525"/>
                <w:sz w:val="16"/>
                <w:szCs w:val="16"/>
              </w:rPr>
              <w:t xml:space="preserve">This is the whole setup.</w:t>
            </w:r>
          </w:p>
        </w:tc>
      </w:tr>
      <w:tr>
        <w:tc>
          <w:tcPr>
            <w:tcW w:type="dxa" w:w="1600"/>
            <w:shd w:fill="F8F5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6"/>
                <w:szCs w:val="16"/>
              </w:rPr>
              <w:t xml:space="preserve">Prohibitions</w:t>
            </w:r>
          </w:p>
        </w:tc>
        <w:tc>
          <w:tcPr>
            <w:tcW w:type="dxa" w:w="7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color w:val="4A3525"/>
                <w:sz w:val="16"/>
                <w:szCs w:val="16"/>
              </w:rPr>
              <w:t xml:space="preserve">No deity image. No legible text. No grand puja room.</w:t>
            </w:r>
          </w:p>
        </w:tc>
      </w:tr>
      <w:tr>
        <w:tc>
          <w:tcPr>
            <w:tcW w:type="dxa" w:w="1600"/>
            <w:shd w:fill="F8F5EE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6"/>
                <w:szCs w:val="16"/>
              </w:rPr>
              <w:t xml:space="preserve">Review</w:t>
            </w:r>
          </w:p>
        </w:tc>
        <w:tc>
          <w:tcPr>
            <w:tcW w:type="dxa" w:w="7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color w:val="4A3525"/>
                <w:sz w:val="16"/>
                <w:szCs w:val="16"/>
              </w:rPr>
              <w:t xml:space="preserve">Standard</w:t>
            </w:r>
          </w:p>
        </w:tc>
      </w:tr>
    </w:tbl>
    <w:p>
      <w:pPr>
        <w:spacing w:after="190"/>
      </w:pP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What Sundarkand actually is</w:t>
      </w:r>
    </w:p>
    <w:p>
      <w:pPr>
        <w:spacing w:after="145" w:line="300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4A3525"/>
          <w:sz w:val="20"/>
          <w:szCs w:val="20"/>
        </w:rPr>
        <w:t xml:space="preserve">It is one section of the Ramcharitmanas — the fifth of seven — and it follows Hanuman on his own: the leap to Lanka, the search for Sita, finding her, and getting back with proof that she is alive.</w:t>
      </w:r>
    </w:p>
    <w:p>
      <w:pPr>
        <w:spacing w:after="145" w:line="300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4A3525"/>
          <w:sz w:val="20"/>
          <w:szCs w:val="20"/>
        </w:rPr>
        <w:t xml:space="preserve">It is the section people recite most, and you do not need to have read the other six to start with this one.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What you need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Item</w:t>
            </w:r>
          </w:p>
        </w:tc>
        <w:tc>
          <w:tcPr>
            <w:tcW w:type="dxa" w:w="63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A Ramcharitmanas</w:t>
            </w:r>
          </w:p>
        </w:tc>
        <w:tc>
          <w:tcPr>
            <w:tcW w:type="dxa" w:w="6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The Gita Press edition is the standard one. Any bookshop or online.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A lamp</w:t>
            </w:r>
          </w:p>
        </w:tc>
        <w:tc>
          <w:tcPr>
            <w:tcW w:type="dxa" w:w="6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Mustard oil is traditional. Any lamp is fine.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A picture of Hanuman</w:t>
            </w:r>
          </w:p>
        </w:tc>
        <w:tc>
          <w:tcPr>
            <w:tcW w:type="dxa" w:w="6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If you have one. Not essential.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Something sweet to offer</w:t>
            </w:r>
          </w:p>
        </w:tc>
        <w:tc>
          <w:tcPr>
            <w:tcW w:type="dxa" w:w="6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Boondi ladoo, or jaggery with roasted chana.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A clean mat to sit on</w:t>
            </w:r>
          </w:p>
        </w:tc>
        <w:tc>
          <w:tcPr>
            <w:tcW w:type="dxa" w:w="63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90"/>
      </w:pP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How to do your first path</w:t>
      </w:r>
    </w:p>
    <w:p>
      <w:pPr>
        <w:spacing w:after="105" w:line="300"/>
      </w:pPr>
      <w:r>
        <w:rPr>
          <w:rFonts w:ascii="Trebuchet MS" w:cs="Trebuchet MS" w:eastAsia="Trebuchet MS" w:hAnsi="Trebuchet MS"/>
          <w:b/>
          <w:bCs/>
          <w:color w:val="B8860B"/>
          <w:sz w:val="20"/>
          <w:szCs w:val="20"/>
        </w:rPr>
        <w:t xml:space="preserve">1.  </w:t>
      </w: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Pick a day. Tuesday and Saturday are the usual choices, but any day works.</w:t>
      </w:r>
    </w:p>
    <w:p>
      <w:pPr>
        <w:spacing w:after="105" w:line="300"/>
      </w:pPr>
      <w:r>
        <w:rPr>
          <w:rFonts w:ascii="Trebuchet MS" w:cs="Trebuchet MS" w:eastAsia="Trebuchet MS" w:hAnsi="Trebuchet MS"/>
          <w:b/>
          <w:bCs/>
          <w:color w:val="B8860B"/>
          <w:sz w:val="20"/>
          <w:szCs w:val="20"/>
        </w:rPr>
        <w:t xml:space="preserve">2.  </w:t>
      </w: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Sit facing east or north on your mat. Light the lamp.</w:t>
      </w:r>
    </w:p>
    <w:p>
      <w:pPr>
        <w:spacing w:after="105" w:line="300"/>
      </w:pPr>
      <w:r>
        <w:rPr>
          <w:rFonts w:ascii="Trebuchet MS" w:cs="Trebuchet MS" w:eastAsia="Trebuchet MS" w:hAnsi="Trebuchet MS"/>
          <w:b/>
          <w:bCs/>
          <w:color w:val="B8860B"/>
          <w:sz w:val="20"/>
          <w:szCs w:val="20"/>
        </w:rPr>
        <w:t xml:space="preserve">3.  </w:t>
      </w: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Say a short prayer to Ganesha, then to Hanuman. A few words in your own language is enough.</w:t>
      </w:r>
    </w:p>
    <w:p>
      <w:pPr>
        <w:spacing w:after="105" w:line="300"/>
      </w:pPr>
      <w:r>
        <w:rPr>
          <w:rFonts w:ascii="Trebuchet MS" w:cs="Trebuchet MS" w:eastAsia="Trebuchet MS" w:hAnsi="Trebuchet MS"/>
          <w:b/>
          <w:bCs/>
          <w:color w:val="B8860B"/>
          <w:sz w:val="20"/>
          <w:szCs w:val="20"/>
        </w:rPr>
        <w:t xml:space="preserve">4.  </w:t>
      </w: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Open the book to Sundarkand and read it aloud, from the beginning, at whatever pace is comfortable.</w:t>
      </w:r>
    </w:p>
    <w:p>
      <w:pPr>
        <w:spacing w:after="105" w:line="300"/>
      </w:pPr>
      <w:r>
        <w:rPr>
          <w:rFonts w:ascii="Trebuchet MS" w:cs="Trebuchet MS" w:eastAsia="Trebuchet MS" w:hAnsi="Trebuchet MS"/>
          <w:b/>
          <w:bCs/>
          <w:color w:val="B8860B"/>
          <w:sz w:val="20"/>
          <w:szCs w:val="20"/>
        </w:rPr>
        <w:t xml:space="preserve">5.  </w:t>
      </w: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When you finish, recite the Hanuman Chalisa if you know it. If not, skip it.</w:t>
      </w:r>
    </w:p>
    <w:p>
      <w:pPr>
        <w:spacing w:after="105" w:line="300"/>
      </w:pPr>
      <w:r>
        <w:rPr>
          <w:rFonts w:ascii="Trebuchet MS" w:cs="Trebuchet MS" w:eastAsia="Trebuchet MS" w:hAnsi="Trebuchet MS"/>
          <w:b/>
          <w:bCs/>
          <w:color w:val="B8860B"/>
          <w:sz w:val="20"/>
          <w:szCs w:val="20"/>
        </w:rPr>
        <w:t xml:space="preserve">6.  </w:t>
      </w: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Offer the sweet, do a short aarti if you can, and share the prasad.</w:t>
      </w:r>
    </w:p>
    <w:p>
      <w:pPr>
        <w:spacing w:after="145" w:line="300"/>
      </w:pPr>
      <w:r>
        <w:rPr>
          <w:rFonts w:ascii="Trebuchet MS" w:cs="Trebuchet MS" w:eastAsia="Trebuchet MS" w:hAnsi="Trebuchet MS"/>
          <w:b w:val="false"/>
          <w:bCs w:val="false"/>
          <w:i w:val="false"/>
          <w:iCs w:val="false"/>
          <w:color w:val="4A3525"/>
          <w:sz w:val="20"/>
          <w:szCs w:val="20"/>
        </w:rPr>
        <w:t xml:space="preserve">An hour and a half to two hours if you read it all in one go.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Common worries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Worry</w:t>
            </w:r>
          </w:p>
        </w:tc>
        <w:tc>
          <w:tcPr>
            <w:tcW w:type="dxa" w:w="6700"/>
            <w:shd w:fill="F8F5EE" w:color="auto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/>
                <w:bCs/>
                <w:color w:val="4A3525"/>
                <w:sz w:val="17"/>
                <w:szCs w:val="17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“I can’t read Awadhi.”</w:t>
            </w:r>
          </w:p>
        </w:tc>
        <w:tc>
          <w:tcPr>
            <w:tcW w:type="dxa" w:w="67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Use an edition with Hindi or English transliteration. Reading it in a script you can actually read is a complete path.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“I can’t sit for two hours.”</w:t>
            </w:r>
          </w:p>
        </w:tc>
        <w:tc>
          <w:tcPr>
            <w:tcW w:type="dxa" w:w="67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Split it across five or seven days. Mark where you stopped and pick up there. This is normal practice, not a compromise.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“I’ll mispronounce things.”</w:t>
            </w:r>
          </w:p>
        </w:tc>
        <w:tc>
          <w:tcPr>
            <w:tcW w:type="dxa" w:w="67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You will, and it does not matter. Nobody learned this without mispronouncing it first.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“Do I need a pandit?”</w:t>
            </w:r>
          </w:p>
        </w:tc>
        <w:tc>
          <w:tcPr>
            <w:tcW w:type="dxa" w:w="67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No. It was written in a vernacular precisely so that anyone could read it themselves.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“I don’t have a proper puja setup.”</w:t>
            </w:r>
          </w:p>
        </w:tc>
        <w:tc>
          <w:tcPr>
            <w:tcW w:type="dxa" w:w="67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A book, a lamp and a place to sit is a proper setup.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“What if I have to stop halfway through?”</w:t>
            </w:r>
          </w:p>
        </w:tc>
        <w:tc>
          <w:tcPr>
            <w:tcW w:type="dxa" w:w="6700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line="265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4A3525"/>
                <w:sz w:val="17"/>
                <w:szCs w:val="17"/>
              </w:rPr>
              <w:t xml:space="preserve">Then stop. Mark the page. Come back to it. Nothing is broken by an interruption.</w:t>
            </w:r>
          </w:p>
        </w:tc>
      </w:tr>
    </w:tbl>
    <w:p>
      <w:pPr>
        <w:spacing w:after="190"/>
      </w:pPr>
    </w:p>
    <w:p>
      <w:pPr>
        <w:spacing w:after="170" w:before="140" w:line="290"/>
        <w:ind w:left="200"/>
      </w:pPr>
      <w:r>
        <w:rPr>
          <w:rFonts w:ascii="Trebuchet MS" w:cs="Trebuchet MS" w:eastAsia="Trebuchet MS" w:hAnsi="Trebuchet MS"/>
          <w:i/>
          <w:iCs/>
          <w:color w:val="8A7B68"/>
          <w:sz w:val="17"/>
          <w:szCs w:val="17"/>
        </w:rPr>
        <w:t xml:space="preserve">Mandatory block — the Myths &amp; Facts equivalent for this category. Do not cut.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What to read next</w:t>
      </w:r>
    </w:p>
    <w:p>
      <w:pPr>
        <w:spacing w:after="70" w:line="300"/>
      </w:pPr>
      <w:r>
        <w:rPr>
          <w:rFonts w:ascii="Trebuchet MS" w:cs="Trebuchet MS" w:eastAsia="Trebuchet MS" w:hAnsi="Trebuchet MS"/>
          <w:b/>
          <w:bCs/>
          <w:i w:val="false"/>
          <w:iCs w:val="false"/>
          <w:color w:val="4A3525"/>
          <w:sz w:val="20"/>
          <w:szCs w:val="20"/>
        </w:rPr>
        <w:t xml:space="preserve">Related Ritual Guides</w:t>
      </w:r>
    </w:p>
    <w:p>
      <w:pPr>
        <w:pStyle w:val="ListParagraph"/>
        <w:numPr>
          <w:ilvl w:val="0"/>
          <w:numId w:val="1"/>
        </w:numPr>
        <w:spacing w:after="95" w:line="300"/>
      </w:pP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Sundarkand Path: Complete Home Puja Vidhi · Hanuman Puja: Tuesday and Saturday · Hanuman Chalisa</w:t>
      </w:r>
    </w:p>
    <w:p>
      <w:pPr>
        <w:spacing w:after="70" w:line="300"/>
      </w:pPr>
      <w:r>
        <w:rPr>
          <w:rFonts w:ascii="Trebuchet MS" w:cs="Trebuchet MS" w:eastAsia="Trebuchet MS" w:hAnsi="Trebuchet MS"/>
          <w:b/>
          <w:bCs/>
          <w:i w:val="false"/>
          <w:iCs w:val="false"/>
          <w:color w:val="4A3525"/>
          <w:sz w:val="20"/>
          <w:szCs w:val="20"/>
        </w:rPr>
        <w:t xml:space="preserve">Related Concepts</w:t>
      </w:r>
    </w:p>
    <w:p>
      <w:pPr>
        <w:pStyle w:val="ListParagraph"/>
        <w:numPr>
          <w:ilvl w:val="0"/>
          <w:numId w:val="1"/>
        </w:numPr>
        <w:spacing w:after="95" w:line="300"/>
      </w:pP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Ramcharitmanas: The Seven Kandas Explained</w:t>
      </w:r>
    </w:p>
    <w:p>
      <w:pPr>
        <w:spacing w:after="70" w:line="300"/>
      </w:pPr>
      <w:r>
        <w:rPr>
          <w:rFonts w:ascii="Trebuchet MS" w:cs="Trebuchet MS" w:eastAsia="Trebuchet MS" w:hAnsi="Trebuchet MS"/>
          <w:b/>
          <w:bCs/>
          <w:i w:val="false"/>
          <w:iCs w:val="false"/>
          <w:color w:val="4A3525"/>
          <w:sz w:val="20"/>
          <w:szCs w:val="20"/>
        </w:rPr>
        <w:t xml:space="preserve">Related Dates</w:t>
      </w:r>
    </w:p>
    <w:p>
      <w:pPr>
        <w:pStyle w:val="ListParagraph"/>
        <w:numPr>
          <w:ilvl w:val="0"/>
          <w:numId w:val="1"/>
        </w:numPr>
        <w:spacing w:after="95" w:line="300"/>
      </w:pPr>
      <w:r>
        <w:rPr>
          <w:rFonts w:ascii="Trebuchet MS" w:cs="Trebuchet MS" w:eastAsia="Trebuchet MS" w:hAnsi="Trebuchet MS"/>
          <w:color w:val="4A3525"/>
          <w:sz w:val="20"/>
          <w:szCs w:val="20"/>
        </w:rPr>
        <w:t xml:space="preserve">Hanuman Jayanti · Purnima dates</w:t>
      </w:r>
    </w:p>
    <w:p>
      <w:pPr>
        <w:spacing w:after="110" w:before="260"/>
      </w:pPr>
      <w:r>
        <w:rPr>
          <w:rFonts w:ascii="Trebuchet MS" w:cs="Trebuchet MS" w:eastAsia="Trebuchet MS" w:hAnsi="Trebuchet MS"/>
          <w:b/>
          <w:bCs/>
          <w:color w:val="4A3525"/>
          <w:sz w:val="22"/>
          <w:szCs w:val="22"/>
        </w:rPr>
        <w:t xml:space="preserve">Commerce</w:t>
      </w:r>
    </w:p>
    <w:p>
      <w:pPr>
        <w:spacing w:after="170" w:before="140" w:line="290"/>
        <w:ind w:left="200"/>
      </w:pPr>
      <w:r>
        <w:rPr>
          <w:rFonts w:ascii="Trebuchet MS" w:cs="Trebuchet MS" w:eastAsia="Trebuchet MS" w:hAnsi="Trebuchet MS"/>
          <w:i/>
          <w:iCs/>
          <w:color w:val="8A7B68"/>
          <w:sz w:val="17"/>
          <w:szCs w:val="17"/>
        </w:rPr>
        <w:t xml:space="preserve">NONE. Sticky bar: Download only. WhatsApp nudge — ₹499/yr, generic copy.</w:t>
      </w:r>
    </w:p>
    <w:p>
      <w:pPr>
        <w:pBdr>
          <w:top w:val="single" w:color="E5DED0" w:sz="6" w:space="12"/>
        </w:pBdr>
        <w:spacing w:after="60" w:before="450"/>
        <w:jc w:val="center"/>
      </w:pPr>
      <w:r>
        <w:rPr>
          <w:rFonts w:ascii="Trebuchet MS" w:cs="Trebuchet MS" w:eastAsia="Trebuchet MS" w:hAnsi="Trebuchet MS"/>
          <w:color w:val="4A3525"/>
          <w:sz w:val="18"/>
          <w:szCs w:val="18"/>
        </w:rPr>
        <w:t xml:space="preserve">तप् · The Tapa Co. · the tapa company</w:t>
      </w:r>
    </w:p>
    <w:p>
      <w:pPr>
        <w:jc w:val="center"/>
      </w:pPr>
      <w:r>
        <w:rPr>
          <w:rFonts w:ascii="Trebuchet MS" w:cs="Trebuchet MS" w:eastAsia="Trebuchet MS" w:hAnsi="Trebuchet MS"/>
          <w:color w:val="8A7B68"/>
          <w:sz w:val="16"/>
          <w:szCs w:val="16"/>
        </w:rPr>
        <w:t xml:space="preserve">© 2026 Komal Gupta. All rights reserved. · Beginner’s Guide — Sundarkand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color w:val="4A352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2026-08-09T17:29:41.295Z</dcterms:created>
  <dcterms:modified xsi:type="dcterms:W3CDTF">2026-08-09T17:29:41.295Z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