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What Does Sundarkand Actually Contain?</w:t>
      </w:r>
    </w:p>
    <w:p>
      <w:pPr>
        <w:spacing w:after="60" w:line="300"/>
      </w:pPr>
      <w:r>
        <w:rPr>
          <w:rFonts w:ascii="Trebuchet MS" w:cs="Trebuchet MS" w:eastAsia="Trebuchet MS" w:hAnsi="Trebuchet MS"/>
          <w:b w:val="false"/>
          <w:bCs w:val="false"/>
          <w:i/>
          <w:iCs/>
          <w:color w:val="8A7B68"/>
          <w:sz w:val="20"/>
          <w:szCs w:val="20"/>
        </w:rPr>
        <w:t xml:space="preserve">A doha-by-doha map, so you know where you are during the path</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SCORE CORRECTED — 5/5 to 3/5, and the sourcing clarified. The earlier draft scored DHARMA 5/5 on the reasoning that “the text is the source”. Being a faithful map of a text does not inherit that text’s tier — and in any case the text mapped here is the Tulsidas Ramcharitmanas, a bhakti-period work, not Shruti.</w:t>
      </w:r>
    </w:p>
    <w:p>
      <w:pPr>
        <w:spacing w:after="170" w:before="140" w:line="290"/>
        <w:ind w:left="200"/>
      </w:pPr>
      <w:r>
        <w:rPr>
          <w:rFonts w:ascii="Trebuchet MS" w:cs="Trebuchet MS" w:eastAsia="Trebuchet MS" w:hAnsi="Trebuchet MS"/>
          <w:i/>
          <w:iCs/>
          <w:color w:val="8A7B68"/>
          <w:sz w:val="17"/>
          <w:szCs w:val="17"/>
        </w:rPr>
        <w:t xml:space="preserve">TIER — SETTLED by RI Editor ruling. RULED by the RI Editor: bhakti-period authored works are man-made compositions, not revealed text. Tier 3, Dharma 3/5, badge Stotra. Where the same claim also sits in a Tier 2 text (Valmiki Ramayana), cite that and score 4/5. Settled. The Bilva article has been corrected accordingly.</w:t>
      </w:r>
    </w:p>
    <w:p>
      <w:pPr>
        <w:spacing w:after="170" w:before="140" w:line="290"/>
        <w:ind w:left="200"/>
      </w:pPr>
      <w:r>
        <w:rPr>
          <w:rFonts w:ascii="Trebuchet MS" w:cs="Trebuchet MS" w:eastAsia="Trebuchet MS" w:hAnsi="Trebuchet MS"/>
          <w:i/>
          <w:iCs/>
          <w:color w:val="8A7B68"/>
          <w:sz w:val="17"/>
          <w:szCs w:val="17"/>
        </w:rPr>
        <w:t xml:space="preserve">Second issue: the draft states the doha-by-doha breakdown is “based on Drik Panchang’s published breakdown”. If we are reproducing another publisher’s sectioning, that must be credited in the article and not only in the CMS — or the mapping must be done independently against the Gita Press edition. Stage 2 must resolve which.</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contents of the Ramcharitmanas Sundarkand, mapped by doha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Named text</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Tulsidas Ramcharitmanas, Sundarkand — 526 chaupais, 60 dohas, 6 chhands, 3 shlokas. Gita Press Gorakhpur edition.</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Attribution issue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Doha ranges in the earlier draft were taken from Drik Panchang’s published breakdown. Either credit it visibly or redo the mapping independently. Do not publish another publisher’s sectioning uncredited.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episode assignments are editorial judgement about where one episode ends and another begins. Reasonable editions differ at the margins; say so.</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contents of Sundarkand, mapped by doha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Tulsidas Ramcharitmanas.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events narrated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Also in the Valmiki Ramayana, Sundara Kanda — Tier 2.</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specific doha ranges assigned to each episode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Editorial sectioning. Editions and commentaries differ at the boundaries.</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must know the map to recite correctly”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Manufactures a precondition.</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Resolve the attribution question above before publish.</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verse counts and doha ranges against the Gita Press edition directly.</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episode assignments against standard commentaries, and note where they differ rather than picking one silently.</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contents of the Ramcharitmanas Sundarkand, mapped by doha</w:t>
      </w:r>
    </w:p>
    <w:p>
      <w:pPr>
        <w:spacing w:after="145" w:line="300"/>
      </w:pPr>
      <w:r>
        <w:rPr>
          <w:rFonts w:ascii="Trebuchet MS" w:cs="Trebuchet MS" w:eastAsia="Trebuchet MS" w:hAnsi="Trebuchet MS"/>
          <w:b/>
          <w:bCs/>
          <w:i w:val="false"/>
          <w:iCs w:val="false"/>
          <w:color w:val="27500A"/>
          <w:sz w:val="20"/>
          <w:szCs w:val="20"/>
        </w:rPr>
        <w:t xml:space="preserve">Dharma · 3/5 · Tulsidas Ramcharitmanas, Gita Press edition</w:t>
      </w:r>
    </w:p>
    <w:p>
      <w:pPr>
        <w:spacing w:after="110" w:before="260"/>
      </w:pPr>
      <w:r>
        <w:rPr>
          <w:rFonts w:ascii="Trebuchet MS" w:cs="Trebuchet MS" w:eastAsia="Trebuchet MS" w:hAnsi="Trebuchet MS"/>
          <w:b/>
          <w:bCs/>
          <w:color w:val="4A3525"/>
          <w:sz w:val="22"/>
          <w:szCs w:val="22"/>
        </w:rPr>
        <w:t xml:space="preserve">What this map is for</w:t>
      </w:r>
    </w:p>
    <w:p>
      <w:pPr>
        <w:spacing w:after="145" w:line="300"/>
      </w:pPr>
      <w:r>
        <w:rPr>
          <w:rFonts w:ascii="Trebuchet MS" w:cs="Trebuchet MS" w:eastAsia="Trebuchet MS" w:hAnsi="Trebuchet MS"/>
          <w:b w:val="false"/>
          <w:bCs w:val="false"/>
          <w:i w:val="false"/>
          <w:iCs w:val="false"/>
          <w:color w:val="4A3525"/>
          <w:sz w:val="20"/>
          <w:szCs w:val="20"/>
        </w:rPr>
        <w:t xml:space="preserve">A Sundarkand path is sixty dohas and 526 chaupais, an hour and a half to two hours of reading. For a first-timer — or someone who has done it a hundred times without a guide — the text can feel like an unbroken flow of Awadhi where it is hard to tell where one episode ends and the next begins.</w:t>
      </w:r>
    </w:p>
    <w:p>
      <w:pPr>
        <w:spacing w:after="145" w:line="300"/>
      </w:pPr>
      <w:r>
        <w:rPr>
          <w:rFonts w:ascii="Trebuchet MS" w:cs="Trebuchet MS" w:eastAsia="Trebuchet MS" w:hAnsi="Trebuchet MS"/>
          <w:b w:val="false"/>
          <w:bCs w:val="false"/>
          <w:i w:val="false"/>
          <w:iCs w:val="false"/>
          <w:color w:val="4A3525"/>
          <w:sz w:val="20"/>
          <w:szCs w:val="20"/>
        </w:rPr>
        <w:t xml:space="preserve">This maps the dohas onto their episodes, so you always know roughly where you are. It is a companion to the path guide: that one tells you how to recite, this one tells you what you are reciting.</w:t>
      </w:r>
    </w:p>
    <w:p>
      <w:pPr>
        <w:spacing w:after="145" w:line="300"/>
      </w:pPr>
      <w:r>
        <w:rPr>
          <w:rFonts w:ascii="Trebuchet MS" w:cs="Trebuchet MS" w:eastAsia="Trebuchet MS" w:hAnsi="Trebuchet MS"/>
          <w:b w:val="false"/>
          <w:bCs w:val="false"/>
          <w:i/>
          <w:iCs/>
          <w:color w:val="4A3525"/>
          <w:sz w:val="20"/>
          <w:szCs w:val="20"/>
        </w:rPr>
        <w:t xml:space="preserve">One caveat worth having up front. Where exactly one episode ends and another starts is an editorial judgement, and editions and commentaries differ at the boundaries. Treat the ranges below as a navigational aid, not as a property of the text.</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Close-up of hands holding an open Gita Press Ramcharitmanas, a finger marking a verse, diya glow at the edge of frame. Awadhi text visible but not legible.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Warm lamp light, cream paper, saffron</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526 chaupais, sixty dohas. Here is roughly where each episode lives.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faces. No deity image. No legible text.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00"/>
      </w:tblGrid>
      <w:tr>
        <w:trPr>
          <w:tblHeader/>
        </w:trPr>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Dohas</w:t>
            </w:r>
          </w:p>
        </w:tc>
        <w:tc>
          <w:tcPr>
            <w:tcW w:type="dxa" w:w="1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Episode</w:t>
            </w:r>
          </w:p>
        </w:tc>
        <w:tc>
          <w:tcPr>
            <w:tcW w:type="dxa" w:w="65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What happens</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1–6</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departure</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Mangalacharan. The leap across the ocean. Surasa’s test. Simhika killed. Arrival at Lanka and the first sight of the city. Lankini defeated. Entry in miniature form. Meeting Vibhishana.</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7–12</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search and the discovery</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search through Lanka — Ravana’s palace, his queens, his splendour, and no Sita. Then Ashok Vatika, and Sita found beneath a tree, guarded, sorrowful, unbroken. Ravana’s threat. Trijata’s dream. Hanuman reveals himself and gives Rama’s ring. The Sita–Hanuman dialogue, the emotional centre of the kanda.</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13–18</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destruction</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grove destroyed — a deliberate provocation. Akshay Kumar killed. Meghnad captures Hanuman. He is brought to court, bound and undefeated.</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19–24</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court and the fire</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dialogue with Ravana. Rama’s message delivered in the court of the man who took Sita. The tail set alight. Lanka burns. Hanuman puts out his own tail in the sea.</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25–30</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return</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 last farewell to Sita. The Chudamani received as proof. The crossing back. The vanara army’s celebration. The news delivered: she is alive.</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31–36</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aftermath</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Rama embraces Hanuman. The army moves toward the sea. Vibhishana is expelled from Lanka and joins Rama.</w:t>
            </w:r>
          </w:p>
        </w:tc>
      </w:tr>
      <w:tr>
        <w:trPr>
          <w:tblHeader w:val="false"/>
        </w:trPr>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37–60</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ocean and the bridge</w:t>
            </w:r>
          </w:p>
        </w:tc>
        <w:tc>
          <w:tcPr>
            <w:tcW w:type="dxa" w:w="6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Rama’s plea to the ocean. The ocean relents. Nala and Neela build the setu. The army crosses. Tulsidas’s closing verses.</w:t>
            </w:r>
          </w:p>
        </w:tc>
      </w:tr>
    </w:tbl>
    <w:p>
      <w:pPr>
        <w:spacing w:after="190"/>
      </w:pPr>
    </w:p>
    <w:p>
      <w:pPr>
        <w:spacing w:after="110" w:before="260"/>
      </w:pPr>
      <w:r>
        <w:rPr>
          <w:rFonts w:ascii="Trebuchet MS" w:cs="Trebuchet MS" w:eastAsia="Trebuchet MS" w:hAnsi="Trebuchet MS"/>
          <w:b/>
          <w:bCs/>
          <w:color w:val="4A3525"/>
          <w:sz w:val="22"/>
          <w:szCs w:val="22"/>
        </w:rPr>
        <w:t xml:space="preserve">How to use it during a path</w:t>
      </w:r>
    </w:p>
    <w:p>
      <w:pPr>
        <w:spacing w:after="145" w:line="300"/>
      </w:pPr>
      <w:r>
        <w:rPr>
          <w:rFonts w:ascii="Trebuchet MS" w:cs="Trebuchet MS" w:eastAsia="Trebuchet MS" w:hAnsi="Trebuchet MS"/>
          <w:b w:val="false"/>
          <w:bCs w:val="false"/>
          <w:i w:val="false"/>
          <w:iCs w:val="false"/>
          <w:color w:val="4A3525"/>
          <w:sz w:val="20"/>
          <w:szCs w:val="20"/>
        </w:rPr>
        <w:t xml:space="preserve">If you are reading alone, glance at the map before you begin so you have a rough sense of the shape — departure, discovery, destruction, court, return. You do not need to memorise the ranges.</w:t>
      </w:r>
    </w:p>
    <w:p>
      <w:pPr>
        <w:spacing w:after="145" w:line="300"/>
      </w:pPr>
      <w:r>
        <w:rPr>
          <w:rFonts w:ascii="Trebuchet MS" w:cs="Trebuchet MS" w:eastAsia="Trebuchet MS" w:hAnsi="Trebuchet MS"/>
          <w:b w:val="false"/>
          <w:bCs w:val="false"/>
          <w:i w:val="false"/>
          <w:iCs w:val="false"/>
          <w:color w:val="4A3525"/>
          <w:sz w:val="20"/>
          <w:szCs w:val="20"/>
        </w:rPr>
        <w:t xml:space="preserve">If you are splitting the path across five or seven days, the episode boundaries are natural stopping points. Ending a session at the close of an episode rather than mid-scene makes it easier to pick up.</w:t>
      </w:r>
    </w:p>
    <w:p>
      <w:pPr>
        <w:spacing w:after="145" w:line="300"/>
      </w:pPr>
      <w:r>
        <w:rPr>
          <w:rFonts w:ascii="Trebuchet MS" w:cs="Trebuchet MS" w:eastAsia="Trebuchet MS" w:hAnsi="Trebuchet MS"/>
          <w:b w:val="false"/>
          <w:bCs w:val="false"/>
          <w:i w:val="false"/>
          <w:iCs w:val="false"/>
          <w:color w:val="4A3525"/>
          <w:sz w:val="20"/>
          <w:szCs w:val="20"/>
        </w:rPr>
        <w:t xml:space="preserve">If you are leading a group path, knowing where the emotional centre falls — the Sita–Hanuman dialogue, around dohas seven to twelve — lets you pace the reading so that section is not rushed.</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need to know the structure to recite correctly.”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do not. People have recited this for centuries without a map, and reading it straight through with attention is a complete path. This article exists to make the text less intimidating, not to add a requirement to it.</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Sixty dohas is a lot to hold if you think of it as sixty dohas. It is not much at all if you think of it as one journey — he goes, he searches, he finds her, he is caught, he burns the city, he comes back and says she is alive.</w:t>
      </w:r>
    </w:p>
    <w:p>
      <w:pPr>
        <w:spacing w:after="145" w:line="300"/>
      </w:pPr>
      <w:r>
        <w:rPr>
          <w:rFonts w:ascii="Trebuchet MS" w:cs="Trebuchet MS" w:eastAsia="Trebuchet MS" w:hAnsi="Trebuchet MS"/>
          <w:b w:val="false"/>
          <w:bCs w:val="false"/>
          <w:i w:val="false"/>
          <w:iCs w:val="false"/>
          <w:color w:val="4A3525"/>
          <w:sz w:val="20"/>
          <w:szCs w:val="20"/>
        </w:rPr>
        <w:t xml:space="preserve">That is the whole map. Everything else is detail you will pick up by reading it.</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Complete Home Puja Vidhi · Hanuman Chalisa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Sundarkand Recited Separately? · Ramcharitmanas: The Seven Kandas · Sundarkand for Beginners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Purnima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What Sundarkand Contains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2026-08-09T17:54:47.005Z</dcterms:created>
  <dcterms:modified xsi:type="dcterms:W3CDTF">2026-08-09T17:54:47.005Z</dcterms:modified>
</cp:coreProperties>
</file>

<file path=docProps/custom.xml><?xml version="1.0" encoding="utf-8"?>
<Properties xmlns="http://schemas.openxmlformats.org/officeDocument/2006/custom-properties" xmlns:vt="http://schemas.openxmlformats.org/officeDocument/2006/docPropsVTypes"/>
</file>