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RITUAL GUIDE</w:t>
      </w:r>
    </w:p>
    <w:p>
      <w:pPr>
        <w:spacing w:after="70" w:line="300"/>
      </w:pPr>
      <w:r>
        <w:rPr>
          <w:rFonts w:ascii="Trebuchet MS" w:cs="Trebuchet MS" w:eastAsia="Trebuchet MS" w:hAnsi="Trebuchet MS"/>
          <w:b/>
          <w:bCs/>
          <w:i w:val="false"/>
          <w:iCs w:val="false"/>
          <w:color w:val="4A3525"/>
          <w:sz w:val="28"/>
          <w:szCs w:val="28"/>
        </w:rPr>
        <w:t xml:space="preserve">Sundarkand Path: Complete Home Puja Vidhi</w:t>
      </w:r>
    </w:p>
    <w:p>
      <w:pPr>
        <w:spacing w:after="60" w:line="300"/>
      </w:pPr>
      <w:r>
        <w:rPr>
          <w:rFonts w:ascii="Trebuchet MS" w:cs="Trebuchet MS" w:eastAsia="Trebuchet MS" w:hAnsi="Trebuchet MS"/>
          <w:b w:val="false"/>
          <w:bCs w:val="false"/>
          <w:i/>
          <w:iCs/>
          <w:color w:val="8A7B68"/>
          <w:sz w:val="20"/>
          <w:szCs w:val="20"/>
        </w:rPr>
        <w:t xml:space="preserve">Samagri, recitation sequence, the doha map, and what the rules actually are</w:t>
      </w:r>
    </w:p>
    <w:p>
      <w:pPr>
        <w:spacing w:after="145" w:line="300"/>
      </w:pPr>
      <w:r>
        <w:rPr>
          <w:rFonts w:ascii="Trebuchet MS" w:cs="Trebuchet MS" w:eastAsia="Trebuchet MS" w:hAnsi="Trebuchet MS"/>
          <w:b w:val="false"/>
          <w:bCs w:val="false"/>
          <w:i/>
          <w:iCs/>
          <w:color w:val="8A7B68"/>
          <w:sz w:val="18"/>
          <w:szCs w:val="18"/>
        </w:rPr>
        <w:t xml:space="preserve">Evergreen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70" w:before="140" w:line="290"/>
        <w:ind w:left="200"/>
      </w:pPr>
      <w:r>
        <w:rPr>
          <w:rFonts w:ascii="Trebuchet MS" w:cs="Trebuchet MS" w:eastAsia="Trebuchet MS" w:hAnsi="Trebuchet MS"/>
          <w:i/>
          <w:iCs/>
          <w:color w:val="8A7B68"/>
          <w:sz w:val="17"/>
          <w:szCs w:val="17"/>
        </w:rPr>
        <w:t xml:space="preserve">SCORE CORRECTED — 5/5 to 4/5, and the sourcing separated. The earlier draft scored DHARMA 5/5 citing “Tulsidas Ramcharitmanas + Valmiki Ramayana” as one source. They are not one source and they are not the same tier. The Valmiki Ramayana is Itihasa — Tier 2, 4/5. The Ramcharitmanas is a bhakti-period vernacular retelling — see the tier note. The core claim rests on Valmiki and scores 4/5; where the article follows Tulsidas specifically, that is said.</w:t>
      </w:r>
    </w:p>
    <w:p>
      <w:pPr>
        <w:spacing w:after="170" w:before="140" w:line="290"/>
        <w:ind w:left="200"/>
      </w:pPr>
      <w:r>
        <w:rPr>
          <w:rFonts w:ascii="Trebuchet MS" w:cs="Trebuchet MS" w:eastAsia="Trebuchet MS" w:hAnsi="Trebuchet MS"/>
          <w:i/>
          <w:iCs/>
          <w:color w:val="8A7B68"/>
          <w:sz w:val="17"/>
          <w:szCs w:val="17"/>
        </w:rPr>
        <w:t xml:space="preserve">RI EDITOR RULING — SETTLED. Bhakti-period authored works — the Hanuman Chalisa, the Ramcharitmanas, the Bilvashtakam and stotras generally — are man-made compositions, not revealed text. They sit at Tier 3, Dharma 3/5, badge Stotra. They are named, checkable and universally practised, which clears the naming rule; they are not Shruti, Purana or Dharmashastra, which is why they do not score higher. Where the same claim also appears in a Tier 2 text (Valmiki Ramayana for Hanuman), cite that instead and score 4/5. The Bilva article has been corrected: the trifoliate claim, which rests on the Bilvashtakam alone, is now Dharma 3/5 badge Stotra, while the core claim stays at 4/5 on the Shiva Purana.</w:t>
      </w:r>
    </w:p>
    <w:p>
      <w:pPr>
        <w:spacing w:after="110" w:before="260"/>
      </w:pPr>
      <w:r>
        <w:rPr>
          <w:rFonts w:ascii="Trebuchet MS" w:cs="Trebuchet MS" w:eastAsia="Trebuchet MS" w:hAnsi="Trebuchet MS"/>
          <w:b/>
          <w:bCs/>
          <w:color w:val="4A3525"/>
          <w:sz w:val="22"/>
          <w:szCs w:val="22"/>
        </w:rPr>
        <w:t xml:space="preserve">Source-of-Truth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Field</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Sundara Kanda as the account of Hanuman’s journey to Lanka, and its recitation as devotional practice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Confidence Score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Badge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Itihasa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source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Valmiki Ramayana, Sundara Kanda — sixty-eight sargas. Tier 2.</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Recitation text</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Tulsidas Ramcharitmanas, Sundarkand — 526 chaupais, 60 dohas, 6 chhands, 3 shlokas, Gita Press edition. This is what is actually recited in homes, and it is a bhakti-period retelling rather than the Tier 2 source.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Composition line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 core practice · 2 scriptural elements · 5 practice conventions · 3 corrections</w:t>
            </w:r>
          </w:p>
        </w:tc>
      </w:tr>
    </w:tbl>
    <w:p>
      <w:pPr>
        <w:spacing w:after="190"/>
      </w:pPr>
    </w:p>
    <w:p>
      <w:pPr>
        <w:spacing w:after="110" w:before="260"/>
      </w:pPr>
      <w:r>
        <w:rPr>
          <w:rFonts w:ascii="Trebuchet MS" w:cs="Trebuchet MS" w:eastAsia="Trebuchet MS" w:hAnsi="Trebuchet MS"/>
          <w:b/>
          <w:bCs/>
          <w:color w:val="4A3525"/>
          <w:sz w:val="22"/>
          <w:szCs w:val="22"/>
        </w:rPr>
        <w:t xml:space="preserve">Internal tagging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800"/>
        <w:gridCol w:w="4400"/>
      </w:tblGrid>
      <w:tr>
        <w:trPr>
          <w:tblHeader/>
        </w:trPr>
        <w:tc>
          <w:tcPr>
            <w:tcW w:type="dxa" w:w="3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Element</w:t>
            </w:r>
          </w:p>
        </w:tc>
        <w:tc>
          <w:tcPr>
            <w:tcW w:type="dxa" w:w="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Tag</w:t>
            </w:r>
          </w:p>
        </w:tc>
        <w:tc>
          <w:tcPr>
            <w:tcW w:type="dxa" w:w="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Score</w:t>
            </w:r>
          </w:p>
        </w:tc>
        <w:tc>
          <w:tcPr>
            <w:tcW w:type="dxa" w:w="44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Source / note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Sundara Kanda as the account of Hanuman’s journey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Valmiki Ramayana — Itihasa. THIS IS THE CORE CLAIM.</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Shodashopachara elements in the opening puja</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Agama and Dharmashastra.</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Ramcharitmanas Sundarkand as the recited text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Tier 3 — authored stotra. Badge: Stotra. Per the RI Editor ruling.</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vandana sequence — Ganesh, Shankar-Parvati, Ram, Hanuman</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Practitioner convention, consistent across households.</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Mustard oil lamp, sindoor, marigold, ladoo</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Practice convention.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Completion in one sitting</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Widely held. No textual basis — the draft’s own Stage 2 note said so and the article should say so too.</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Tuesday, Saturday or Purnima as best days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Practice, not prescription.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“It must be completed in one sitting or it does not count”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Claims invalidation.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“Only a pandit can lead a path”</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Claims exclusivity.</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“Sundarkand on Saturday protects from Shani”</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Remedial framing. Must not appear.</w:t>
            </w:r>
          </w:p>
        </w:tc>
      </w:tr>
    </w:tbl>
    <w:p>
      <w:pPr>
        <w:spacing w:after="190"/>
      </w:pPr>
    </w:p>
    <w:p>
      <w:pPr>
        <w:spacing w:after="110" w:before="260"/>
      </w:pPr>
      <w:r>
        <w:rPr>
          <w:rFonts w:ascii="Trebuchet MS" w:cs="Trebuchet MS" w:eastAsia="Trebuchet MS" w:hAnsi="Trebuchet MS"/>
          <w:b/>
          <w:bCs/>
          <w:color w:val="4A3525"/>
          <w:sz w:val="22"/>
          <w:szCs w:val="22"/>
        </w:rPr>
        <w:t xml:space="preserve">Stage 2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8700"/>
      </w:tblGrid>
      <w:tr>
        <w:trPr>
          <w:tblHeader/>
        </w:trPr>
        <w:tc>
          <w:tcPr>
            <w:tcW w:type="dxa" w:w="6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w:t>
            </w:r>
          </w:p>
        </w:tc>
        <w:tc>
          <w:tcPr>
            <w:tcW w:type="dxa" w:w="87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Check</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RI Editor decision on the bhakti-text tier. This article and the Chalisa move together.</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Verify the verse count against the Gita Press standard edition.</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no Shani-remedial framing survives. The draft carried Saturday as “Shani protection” in the Panchang card; it has been removed.</w:t>
            </w:r>
          </w:p>
        </w:tc>
      </w:tr>
      <w:tr>
        <w:trPr>
          <w:tblHeader w:val="false"/>
        </w:trPr>
        <w:tc>
          <w:tcPr>
            <w:tcW w:type="dxa" w:w="6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w:t>
            </w:r>
          </w:p>
        </w:tc>
        <w:tc>
          <w:tcPr>
            <w:tcW w:type="dxa" w:w="87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Confirm the vandana sequence with a practitioner: Ganesh, Shankar-Parvati, Ram-Sita-Lakshman, Hanuman, path, Chalisa, aarti.</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Credibility card</w:t>
      </w:r>
    </w:p>
    <w:p>
      <w:pPr>
        <w:spacing w:after="145" w:line="300"/>
      </w:pPr>
      <w:r>
        <w:rPr>
          <w:rFonts w:ascii="Trebuchet MS" w:cs="Trebuchet MS" w:eastAsia="Trebuchet MS" w:hAnsi="Trebuchet MS"/>
          <w:b/>
          <w:bCs/>
          <w:i w:val="false"/>
          <w:iCs w:val="false"/>
          <w:color w:val="4A3525"/>
          <w:sz w:val="20"/>
          <w:szCs w:val="20"/>
        </w:rPr>
        <w:t xml:space="preserve">Core practice — Sundara Kanda as the account of Hanuman’s journey to Lanka, and its recitation</w:t>
      </w:r>
    </w:p>
    <w:p>
      <w:pPr>
        <w:spacing w:after="145" w:line="300"/>
      </w:pPr>
      <w:r>
        <w:rPr>
          <w:rFonts w:ascii="Trebuchet MS" w:cs="Trebuchet MS" w:eastAsia="Trebuchet MS" w:hAnsi="Trebuchet MS"/>
          <w:b/>
          <w:bCs/>
          <w:i w:val="false"/>
          <w:iCs w:val="false"/>
          <w:color w:val="27500A"/>
          <w:sz w:val="20"/>
          <w:szCs w:val="20"/>
        </w:rPr>
        <w:t xml:space="preserve">Dharma · 4/5 · Valmiki Ramayana, Sundara Kanda</w:t>
      </w:r>
    </w:p>
    <w:p>
      <w:pPr>
        <w:spacing w:after="145" w:line="300"/>
      </w:pPr>
      <w:r>
        <w:rPr>
          <w:rFonts w:ascii="Trebuchet MS" w:cs="Trebuchet MS" w:eastAsia="Trebuchet MS" w:hAnsi="Trebuchet MS"/>
          <w:b w:val="false"/>
          <w:bCs w:val="false"/>
          <w:i w:val="false"/>
          <w:iCs w:val="false"/>
          <w:color w:val="8A7B68"/>
          <w:sz w:val="18"/>
          <w:szCs w:val="18"/>
        </w:rPr>
        <w:t xml:space="preserve">This guide: 1 core practice · 2 scriptural elements · 5 practice conventions · 3 corrections</w:t>
      </w:r>
    </w:p>
    <w:p>
      <w:pPr>
        <w:spacing w:after="190"/>
      </w:pPr>
    </w:p>
    <w:p>
      <w:pPr>
        <w:spacing w:after="110" w:before="260"/>
      </w:pPr>
      <w:r>
        <w:rPr>
          <w:rFonts w:ascii="Trebuchet MS" w:cs="Trebuchet MS" w:eastAsia="Trebuchet MS" w:hAnsi="Trebuchet MS"/>
          <w:b/>
          <w:bCs/>
          <w:color w:val="4A3525"/>
          <w:sz w:val="22"/>
          <w:szCs w:val="22"/>
        </w:rPr>
        <w:t xml:space="preserve">When</w:t>
      </w:r>
    </w:p>
    <w:p>
      <w:pPr>
        <w:spacing w:after="145" w:line="300"/>
      </w:pPr>
      <w:r>
        <w:rPr>
          <w:rFonts w:ascii="Trebuchet MS" w:cs="Trebuchet MS" w:eastAsia="Trebuchet MS" w:hAnsi="Trebuchet MS"/>
          <w:b w:val="false"/>
          <w:bCs w:val="false"/>
          <w:i w:val="false"/>
          <w:iCs w:val="false"/>
          <w:color w:val="4A3525"/>
          <w:sz w:val="20"/>
          <w:szCs w:val="20"/>
        </w:rPr>
        <w:t xml:space="preserve">No fixed date. It may be recited on any day. Tuesday, Saturday and Purnima are the days most commonly chosen, and a group path is often kept on a Purnima evening. There is no calendrical restriction and no seasonal window.</w:t>
      </w:r>
    </w:p>
    <w:p>
      <w:pPr>
        <w:spacing w:after="145" w:line="300"/>
      </w:pPr>
      <w:r>
        <w:rPr>
          <w:rFonts w:ascii="Trebuchet MS" w:cs="Trebuchet MS" w:eastAsia="Trebuchet MS" w:hAnsi="Trebuchet MS"/>
          <w:b w:val="false"/>
          <w:bCs w:val="false"/>
          <w:i w:val="false"/>
          <w:iCs w:val="false"/>
          <w:color w:val="4A3525"/>
          <w:sz w:val="20"/>
          <w:szCs w:val="20"/>
        </w:rPr>
        <w:t xml:space="preserve">Allow an hour and a half to two hours for a complete path.</w:t>
      </w:r>
    </w:p>
    <w:p>
      <w:pPr>
        <w:spacing w:after="110" w:before="260"/>
      </w:pPr>
      <w:r>
        <w:rPr>
          <w:rFonts w:ascii="Trebuchet MS" w:cs="Trebuchet MS" w:eastAsia="Trebuchet MS" w:hAnsi="Trebuchet MS"/>
          <w:b/>
          <w:bCs/>
          <w:color w:val="4A3525"/>
          <w:sz w:val="22"/>
          <w:szCs w:val="22"/>
        </w:rPr>
        <w:t xml:space="preserve">Intro</w:t>
      </w:r>
    </w:p>
    <w:p>
      <w:pPr>
        <w:spacing w:after="145" w:line="300"/>
      </w:pPr>
      <w:r>
        <w:rPr>
          <w:rFonts w:ascii="Trebuchet MS" w:cs="Trebuchet MS" w:eastAsia="Trebuchet MS" w:hAnsi="Trebuchet MS"/>
          <w:b w:val="false"/>
          <w:bCs w:val="false"/>
          <w:i w:val="false"/>
          <w:iCs w:val="false"/>
          <w:color w:val="4A3525"/>
          <w:sz w:val="20"/>
          <w:szCs w:val="20"/>
        </w:rPr>
        <w:t xml:space="preserve">Sundarkand follows Hanuman alone: the leap across the ocean, the search through Lanka, the finding of Sita in Ashok Vatika, and the return with proof that she lives. It is the most recited section of the Ramayana, kept in homes across India and in group gatherings.</w:t>
      </w:r>
    </w:p>
    <w:p>
      <w:pPr>
        <w:spacing w:after="145" w:line="300"/>
      </w:pPr>
      <w:r>
        <w:rPr>
          <w:rFonts w:ascii="Trebuchet MS" w:cs="Trebuchet MS" w:eastAsia="Trebuchet MS" w:hAnsi="Trebuchet MS"/>
          <w:color w:val="4A3525"/>
          <w:sz w:val="20"/>
          <w:szCs w:val="20"/>
        </w:rPr>
        <w:t xml:space="preserve">The account itself is in the Valmiki Ramayana, the Sundara Kanda of sixty-eight sargas. What is actually recited in most homes is Tulsidas’s Sundarkand from the Ramcharitmanas — 526 chaupais and 60 dohas in Awadhi. Both are named texts; they are different texts, from different periods, and this guide follows the Tulsidas recitation because that is what people hold in their hands.  </w:t>
      </w:r>
      <w:r>
        <w:rPr>
          <w:rFonts w:ascii="Trebuchet MS" w:cs="Trebuchet MS" w:eastAsia="Trebuchet MS" w:hAnsi="Trebuchet MS"/>
          <w:b/>
          <w:bCs/>
          <w:color w:val="27500A"/>
          <w:sz w:val="16"/>
          <w:szCs w:val="16"/>
        </w:rPr>
        <w:t xml:space="preserve">[Dharma · 4/5]</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An open Ramcharitmanas on a wooden book stand, a lit mustard oil lamp beside it, a marigold garland draped over the stand. Morning light. Text visible but not legible.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Saffron, brass, marigold, warm paper</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526 chaupais. Sixty dohas. Your voice and this flame.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deity image. No legible text in frame. No human figures.</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w:t>
            </w:r>
          </w:p>
        </w:tc>
      </w:tr>
    </w:tbl>
    <w:p>
      <w:pPr>
        <w:spacing w:after="190"/>
      </w:pPr>
    </w:p>
    <w:p>
      <w:pPr>
        <w:spacing w:after="110" w:before="260"/>
      </w:pPr>
      <w:r>
        <w:rPr>
          <w:rFonts w:ascii="Trebuchet MS" w:cs="Trebuchet MS" w:eastAsia="Trebuchet MS" w:hAnsi="Trebuchet MS"/>
          <w:b/>
          <w:bCs/>
          <w:color w:val="4A3525"/>
          <w:sz w:val="22"/>
          <w:szCs w:val="22"/>
        </w:rPr>
        <w:t xml:space="preserve">Samagri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Item</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Note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Ramcharitmanas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Gita Press edition. The essential item.</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Hanuman image</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Facing the reciter</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Mustard oil lamp and cotton wick</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Ghee accepted if unavailable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Sindoor</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For anointing the image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Marigold garland</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Boondi ladoo or jaggery and chana</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Incense and camphor</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For the closing aarti</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Ganga Jal</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For sprinkling on the book and the space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Clean asan</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Wool, cotton or kusha. Sit on it throughout.</w:t>
            </w:r>
          </w:p>
        </w:tc>
      </w:tr>
    </w:tbl>
    <w:p>
      <w:pPr>
        <w:spacing w:after="190"/>
      </w:pPr>
    </w:p>
    <w:p>
      <w:pPr>
        <w:spacing w:after="110" w:before="260"/>
      </w:pPr>
      <w:r>
        <w:rPr>
          <w:rFonts w:ascii="Trebuchet MS" w:cs="Trebuchet MS" w:eastAsia="Trebuchet MS" w:hAnsi="Trebuchet MS"/>
          <w:b/>
          <w:bCs/>
          <w:color w:val="4A3525"/>
          <w:sz w:val="22"/>
          <w:szCs w:val="22"/>
        </w:rPr>
        <w:t xml:space="preserve">The sequence</w:t>
      </w:r>
    </w:p>
    <w:p>
      <w:pPr>
        <w:spacing w:after="105" w:line="300"/>
      </w:pPr>
      <w:r>
        <w:rPr>
          <w:rFonts w:ascii="Trebuchet MS" w:cs="Trebuchet MS" w:eastAsia="Trebuchet MS" w:hAnsi="Trebuchet MS"/>
          <w:b/>
          <w:bCs/>
          <w:color w:val="B8860B"/>
          <w:sz w:val="20"/>
          <w:szCs w:val="20"/>
        </w:rPr>
        <w:t xml:space="preserve">1.  </w:t>
      </w:r>
      <w:r>
        <w:rPr>
          <w:rFonts w:ascii="Trebuchet MS" w:cs="Trebuchet MS" w:eastAsia="Trebuchet MS" w:hAnsi="Trebuchet MS"/>
          <w:color w:val="4A3525"/>
          <w:sz w:val="20"/>
          <w:szCs w:val="20"/>
        </w:rPr>
        <w:t xml:space="preserve">Ganesh vandana — a brief prayer to remove obstacles from the path.</w:t>
      </w:r>
    </w:p>
    <w:p>
      <w:pPr>
        <w:spacing w:after="105" w:line="300"/>
      </w:pPr>
      <w:r>
        <w:rPr>
          <w:rFonts w:ascii="Trebuchet MS" w:cs="Trebuchet MS" w:eastAsia="Trebuchet MS" w:hAnsi="Trebuchet MS"/>
          <w:b/>
          <w:bCs/>
          <w:color w:val="B8860B"/>
          <w:sz w:val="20"/>
          <w:szCs w:val="20"/>
        </w:rPr>
        <w:t xml:space="preserve">2.  </w:t>
      </w:r>
      <w:r>
        <w:rPr>
          <w:rFonts w:ascii="Trebuchet MS" w:cs="Trebuchet MS" w:eastAsia="Trebuchet MS" w:hAnsi="Trebuchet MS"/>
          <w:color w:val="4A3525"/>
          <w:sz w:val="20"/>
          <w:szCs w:val="20"/>
        </w:rPr>
        <w:t xml:space="preserve">Shankar-Parvati vandana — the Ram Katha was first told by Shiva to Parvati.</w:t>
      </w:r>
    </w:p>
    <w:p>
      <w:pPr>
        <w:spacing w:after="105" w:line="300"/>
      </w:pPr>
      <w:r>
        <w:rPr>
          <w:rFonts w:ascii="Trebuchet MS" w:cs="Trebuchet MS" w:eastAsia="Trebuchet MS" w:hAnsi="Trebuchet MS"/>
          <w:b/>
          <w:bCs/>
          <w:color w:val="B8860B"/>
          <w:sz w:val="20"/>
          <w:szCs w:val="20"/>
        </w:rPr>
        <w:t xml:space="preserve">3.  </w:t>
      </w:r>
      <w:r>
        <w:rPr>
          <w:rFonts w:ascii="Trebuchet MS" w:cs="Trebuchet MS" w:eastAsia="Trebuchet MS" w:hAnsi="Trebuchet MS"/>
          <w:color w:val="4A3525"/>
          <w:sz w:val="20"/>
          <w:szCs w:val="20"/>
        </w:rPr>
        <w:t xml:space="preserve">Ram-Sita-Lakshman vandana — invoked before Hanuman’s journey begins.</w:t>
      </w:r>
    </w:p>
    <w:p>
      <w:pPr>
        <w:spacing w:after="105" w:line="300"/>
      </w:pPr>
      <w:r>
        <w:rPr>
          <w:rFonts w:ascii="Trebuchet MS" w:cs="Trebuchet MS" w:eastAsia="Trebuchet MS" w:hAnsi="Trebuchet MS"/>
          <w:b/>
          <w:bCs/>
          <w:color w:val="B8860B"/>
          <w:sz w:val="20"/>
          <w:szCs w:val="20"/>
        </w:rPr>
        <w:t xml:space="preserve">4.  </w:t>
      </w:r>
      <w:r>
        <w:rPr>
          <w:rFonts w:ascii="Trebuchet MS" w:cs="Trebuchet MS" w:eastAsia="Trebuchet MS" w:hAnsi="Trebuchet MS"/>
          <w:color w:val="4A3525"/>
          <w:sz w:val="20"/>
          <w:szCs w:val="20"/>
        </w:rPr>
        <w:t xml:space="preserve">Hanuman vandana, including the Jambavan verse.</w:t>
      </w:r>
    </w:p>
    <w:p>
      <w:pPr>
        <w:spacing w:after="105" w:line="300"/>
      </w:pPr>
      <w:r>
        <w:rPr>
          <w:rFonts w:ascii="Trebuchet MS" w:cs="Trebuchet MS" w:eastAsia="Trebuchet MS" w:hAnsi="Trebuchet MS"/>
          <w:b/>
          <w:bCs/>
          <w:color w:val="B8860B"/>
          <w:sz w:val="20"/>
          <w:szCs w:val="20"/>
        </w:rPr>
        <w:t xml:space="preserve">5.  </w:t>
      </w:r>
      <w:r>
        <w:rPr>
          <w:rFonts w:ascii="Trebuchet MS" w:cs="Trebuchet MS" w:eastAsia="Trebuchet MS" w:hAnsi="Trebuchet MS"/>
          <w:color w:val="4A3525"/>
          <w:sz w:val="20"/>
          <w:szCs w:val="20"/>
        </w:rPr>
        <w:t xml:space="preserve">The path itself — all sixty dohas and their chaupais, in order. The lamp stays lit.</w:t>
      </w:r>
    </w:p>
    <w:p>
      <w:pPr>
        <w:spacing w:after="105" w:line="300"/>
      </w:pPr>
      <w:r>
        <w:rPr>
          <w:rFonts w:ascii="Trebuchet MS" w:cs="Trebuchet MS" w:eastAsia="Trebuchet MS" w:hAnsi="Trebuchet MS"/>
          <w:b/>
          <w:bCs/>
          <w:color w:val="B8860B"/>
          <w:sz w:val="20"/>
          <w:szCs w:val="20"/>
        </w:rPr>
        <w:t xml:space="preserve">6.  </w:t>
      </w:r>
      <w:r>
        <w:rPr>
          <w:rFonts w:ascii="Trebuchet MS" w:cs="Trebuchet MS" w:eastAsia="Trebuchet MS" w:hAnsi="Trebuchet MS"/>
          <w:color w:val="4A3525"/>
          <w:sz w:val="20"/>
          <w:szCs w:val="20"/>
        </w:rPr>
        <w:t xml:space="preserve">Hanuman Chalisa.</w:t>
      </w:r>
    </w:p>
    <w:p>
      <w:pPr>
        <w:spacing w:after="105" w:line="300"/>
      </w:pPr>
      <w:r>
        <w:rPr>
          <w:rFonts w:ascii="Trebuchet MS" w:cs="Trebuchet MS" w:eastAsia="Trebuchet MS" w:hAnsi="Trebuchet MS"/>
          <w:b/>
          <w:bCs/>
          <w:color w:val="B8860B"/>
          <w:sz w:val="20"/>
          <w:szCs w:val="20"/>
        </w:rPr>
        <w:t xml:space="preserve">7.  </w:t>
      </w:r>
      <w:r>
        <w:rPr>
          <w:rFonts w:ascii="Trebuchet MS" w:cs="Trebuchet MS" w:eastAsia="Trebuchet MS" w:hAnsi="Trebuchet MS"/>
          <w:color w:val="4A3525"/>
          <w:sz w:val="20"/>
          <w:szCs w:val="20"/>
        </w:rPr>
        <w:t xml:space="preserve">Aarti. Ring the bell, offer camphor.</w:t>
      </w:r>
    </w:p>
    <w:p>
      <w:pPr>
        <w:spacing w:after="105" w:line="300"/>
      </w:pPr>
      <w:r>
        <w:rPr>
          <w:rFonts w:ascii="Trebuchet MS" w:cs="Trebuchet MS" w:eastAsia="Trebuchet MS" w:hAnsi="Trebuchet MS"/>
          <w:b/>
          <w:bCs/>
          <w:color w:val="B8860B"/>
          <w:sz w:val="20"/>
          <w:szCs w:val="20"/>
        </w:rPr>
        <w:t xml:space="preserve">8.  </w:t>
      </w:r>
      <w:r>
        <w:rPr>
          <w:rFonts w:ascii="Trebuchet MS" w:cs="Trebuchet MS" w:eastAsia="Trebuchet MS" w:hAnsi="Trebuchet MS"/>
          <w:color w:val="4A3525"/>
          <w:sz w:val="20"/>
          <w:szCs w:val="20"/>
        </w:rPr>
        <w:t xml:space="preserve">Offer the prasad, then distribute it to everyone present.</w:t>
      </w:r>
    </w:p>
    <w:p>
      <w:pPr>
        <w:spacing w:after="145" w:line="300"/>
      </w:pPr>
      <w:r>
        <w:rPr>
          <w:rFonts w:ascii="Trebuchet MS" w:cs="Trebuchet MS" w:eastAsia="Trebuchet MS" w:hAnsi="Trebuchet MS"/>
          <w:b w:val="false"/>
          <w:bCs w:val="false"/>
          <w:i w:val="false"/>
          <w:iCs w:val="false"/>
          <w:color w:val="4A3525"/>
          <w:sz w:val="20"/>
          <w:szCs w:val="20"/>
        </w:rPr>
        <w:t xml:space="preserve">For a group path, the lead reciter reads aloud and the others follow or listen. Everyone stays seated until it is finished.</w:t>
      </w:r>
    </w:p>
    <w:p>
      <w:pPr>
        <w:spacing w:after="145" w:line="300"/>
      </w:pPr>
      <w:r>
        <w:rPr>
          <w:rFonts w:ascii="Trebuchet MS" w:cs="Trebuchet MS" w:eastAsia="Trebuchet MS" w:hAnsi="Trebuchet MS"/>
          <w:color w:val="4A3525"/>
          <w:sz w:val="20"/>
          <w:szCs w:val="20"/>
        </w:rPr>
        <w:t xml:space="preserve">If you cannot finish in one sitting, split it across five or seven days, reading a set number of dohas each day and marking where you stopped. This is accepted practice. The tradition values completion, not endurance, and the one-sitting rule has no textual basis.  </w:t>
      </w:r>
      <w:r>
        <w:rPr>
          <w:rFonts w:ascii="Trebuchet MS" w:cs="Trebuchet MS" w:eastAsia="Trebuchet MS" w:hAnsi="Trebuchet MS"/>
          <w:b/>
          <w:bCs/>
          <w:color w:val="A07800"/>
          <w:sz w:val="16"/>
          <w:szCs w:val="16"/>
        </w:rPr>
        <w:t xml:space="preserve">[Pratha · 2/5]</w:t>
      </w:r>
    </w:p>
    <w:p>
      <w:pPr>
        <w:spacing w:after="110" w:before="260"/>
      </w:pPr>
      <w:r>
        <w:rPr>
          <w:rFonts w:ascii="Trebuchet MS" w:cs="Trebuchet MS" w:eastAsia="Trebuchet MS" w:hAnsi="Trebuchet MS"/>
          <w:b/>
          <w:bCs/>
          <w:color w:val="4A3525"/>
          <w:sz w:val="22"/>
          <w:szCs w:val="22"/>
        </w:rPr>
        <w:t xml:space="preserve">The doha 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8000"/>
      </w:tblGrid>
      <w:tr>
        <w:trPr>
          <w:tblHeader/>
        </w:trPr>
        <w:tc>
          <w:tcPr>
            <w:tcW w:type="dxa" w:w="1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Dohas</w:t>
            </w:r>
          </w:p>
        </w:tc>
        <w:tc>
          <w:tcPr>
            <w:tcW w:type="dxa" w:w="8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What happens</w:t>
            </w:r>
          </w:p>
        </w:tc>
      </w:tr>
      <w:tr>
        <w:trPr>
          <w:tblHeader w:val="false"/>
        </w:trPr>
        <w:tc>
          <w:tcPr>
            <w:tcW w:type="dxa" w:w="1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1–6</w:t>
            </w:r>
          </w:p>
        </w:tc>
        <w:tc>
          <w:tcPr>
            <w:tcW w:type="dxa" w:w="8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departure. The leap across the ocean, Surasa, Simhika, arrival at Lanka, Lankini, entry in miniature form, meeting Vibhishana.</w:t>
            </w:r>
          </w:p>
        </w:tc>
      </w:tr>
      <w:tr>
        <w:trPr>
          <w:tblHeader w:val="false"/>
        </w:trPr>
        <w:tc>
          <w:tcPr>
            <w:tcW w:type="dxa" w:w="1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7–12</w:t>
            </w:r>
          </w:p>
        </w:tc>
        <w:tc>
          <w:tcPr>
            <w:tcW w:type="dxa" w:w="8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search and the discovery. Ashok Vatika. Sita found — sorrowful but unbroken. Trijata’s dream. Ram’s ring delivered. The Sita-Hanuman dialogue, the emotional centre of the whole kanda.</w:t>
            </w:r>
          </w:p>
        </w:tc>
      </w:tr>
      <w:tr>
        <w:trPr>
          <w:tblHeader w:val="false"/>
        </w:trPr>
        <w:tc>
          <w:tcPr>
            <w:tcW w:type="dxa" w:w="1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13–18</w:t>
            </w:r>
          </w:p>
        </w:tc>
        <w:tc>
          <w:tcPr>
            <w:tcW w:type="dxa" w:w="8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destruction. Ashok Vatika destroyed, Akshay Kumar killed, Hanuman captured by Meghnad and brought to court.</w:t>
            </w:r>
          </w:p>
        </w:tc>
      </w:tr>
      <w:tr>
        <w:trPr>
          <w:tblHeader w:val="false"/>
        </w:trPr>
        <w:tc>
          <w:tcPr>
            <w:tcW w:type="dxa" w:w="1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19–24</w:t>
            </w:r>
          </w:p>
        </w:tc>
        <w:tc>
          <w:tcPr>
            <w:tcW w:type="dxa" w:w="8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court and the fire. The dialogue with Ravana, Ram’s message delivered, the tail set alight, Lanka burns.</w:t>
            </w:r>
          </w:p>
        </w:tc>
      </w:tr>
      <w:tr>
        <w:trPr>
          <w:tblHeader w:val="false"/>
        </w:trPr>
        <w:tc>
          <w:tcPr>
            <w:tcW w:type="dxa" w:w="1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25–30</w:t>
            </w:r>
          </w:p>
        </w:tc>
        <w:tc>
          <w:tcPr>
            <w:tcW w:type="dxa" w:w="8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return. The farewell to Sita, the Chudamani received as proof, the crossing back, the news delivered.</w:t>
            </w:r>
          </w:p>
        </w:tc>
      </w:tr>
      <w:tr>
        <w:trPr>
          <w:tblHeader w:val="false"/>
        </w:trPr>
        <w:tc>
          <w:tcPr>
            <w:tcW w:type="dxa" w:w="1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31–36</w:t>
            </w:r>
          </w:p>
        </w:tc>
        <w:tc>
          <w:tcPr>
            <w:tcW w:type="dxa" w:w="8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aftermath. Ram embraces Hanuman. The army moves. Vibhishana joins Ram.</w:t>
            </w:r>
          </w:p>
        </w:tc>
      </w:tr>
      <w:tr>
        <w:trPr>
          <w:tblHeader w:val="false"/>
        </w:trPr>
        <w:tc>
          <w:tcPr>
            <w:tcW w:type="dxa" w:w="1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37–60</w:t>
            </w:r>
          </w:p>
        </w:tc>
        <w:tc>
          <w:tcPr>
            <w:tcW w:type="dxa" w:w="8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ocean and the bridge. Ram’s plea, the ocean relents, Nala and Neela build the setu, the army crosses.</w:t>
            </w:r>
          </w:p>
        </w:tc>
      </w:tr>
    </w:tbl>
    <w:p>
      <w:pPr>
        <w:spacing w:after="190"/>
      </w:pPr>
    </w:p>
    <w:p>
      <w:pPr>
        <w:spacing w:after="110" w:before="260"/>
      </w:pPr>
      <w:r>
        <w:rPr>
          <w:rFonts w:ascii="Trebuchet MS" w:cs="Trebuchet MS" w:eastAsia="Trebuchet MS" w:hAnsi="Trebuchet MS"/>
          <w:b/>
          <w:bCs/>
          <w:color w:val="4A3525"/>
          <w:sz w:val="22"/>
          <w:szCs w:val="22"/>
        </w:rPr>
        <w:t xml:space="preserve">Myths &amp;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Myth</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Fact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“It must be completed in one sitting or it does not count.”</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 text says this. Splitting the path across five or seven days is accepted practice and always has been. What the tradition asks for is completion, not a single unbroken sitting.</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“Only a pandit can lead a Sundarkand path.”</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Anyone can read it, alone or aloud to others. It was written in a vernacular precisely so that anyone could. A pandit adds scale and confidence to a group path, not validity.</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“Reciting it on Saturday protects you from Shani.”</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We make no claims about what a graha will do. Saturday is a common day for this path because it is a common day for Hanuman worship, and that is the whole of the reason we will give you.</w:t>
            </w:r>
          </w:p>
        </w:tc>
      </w:tr>
    </w:tbl>
    <w:p>
      <w:pPr>
        <w:spacing w:after="190"/>
      </w:pPr>
    </w:p>
    <w:p>
      <w:pPr>
        <w:spacing w:after="110" w:before="260"/>
      </w:pPr>
      <w:r>
        <w:rPr>
          <w:rFonts w:ascii="Trebuchet MS" w:cs="Trebuchet MS" w:eastAsia="Trebuchet MS" w:hAnsi="Trebuchet MS"/>
          <w:b/>
          <w:bCs/>
          <w:color w:val="4A3525"/>
          <w:sz w:val="22"/>
          <w:szCs w:val="22"/>
        </w:rPr>
        <w:t xml:space="preserve">Closing</w:t>
      </w:r>
    </w:p>
    <w:p>
      <w:pPr>
        <w:spacing w:after="145" w:line="300"/>
      </w:pPr>
      <w:r>
        <w:rPr>
          <w:rFonts w:ascii="Trebuchet MS" w:cs="Trebuchet MS" w:eastAsia="Trebuchet MS" w:hAnsi="Trebuchet MS"/>
          <w:b w:val="false"/>
          <w:bCs w:val="false"/>
          <w:i w:val="false"/>
          <w:iCs w:val="false"/>
          <w:color w:val="4A3525"/>
          <w:sz w:val="20"/>
          <w:szCs w:val="20"/>
        </w:rPr>
        <w:t xml:space="preserve">Sundarkand is the only section of the Ramayana in which Ram barely appears. It belongs to Hanuman, alone, doing something nobody was certain could be done — and the reason it is the most recited part of the epic is probably that.</w:t>
      </w:r>
    </w:p>
    <w:p>
      <w:pPr>
        <w:spacing w:after="110" w:before="260"/>
      </w:pPr>
      <w:r>
        <w:rPr>
          <w:rFonts w:ascii="Trebuchet MS" w:cs="Trebuchet MS" w:eastAsia="Trebuchet MS" w:hAnsi="Trebuchet MS"/>
          <w:b/>
          <w:bCs/>
          <w:color w:val="4A3525"/>
          <w:sz w:val="22"/>
          <w:szCs w:val="22"/>
        </w:rPr>
        <w:t xml:space="preserve">Related</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Hanuman Puja: Tuesday and Saturday · Hanuman Chalisa</w:t>
      </w:r>
    </w:p>
    <w:p>
      <w:pPr>
        <w:spacing w:after="70" w:line="300"/>
      </w:pPr>
      <w:r>
        <w:rPr>
          <w:rFonts w:ascii="Trebuchet MS" w:cs="Trebuchet MS" w:eastAsia="Trebuchet MS" w:hAnsi="Trebuchet MS"/>
          <w:b/>
          <w:bCs/>
          <w:i w:val="false"/>
          <w:iCs w:val="false"/>
          <w:color w:val="4A3525"/>
          <w:sz w:val="20"/>
          <w:szCs w:val="20"/>
        </w:rPr>
        <w:t xml:space="preserve">Related Pujans</w:t>
      </w:r>
    </w:p>
    <w:p>
      <w:pPr>
        <w:pStyle w:val="ListParagraph"/>
        <w:numPr>
          <w:ilvl w:val="0"/>
          <w:numId w:val="1"/>
        </w:numPr>
        <w:spacing w:after="95" w:line="300"/>
      </w:pPr>
      <w:r>
        <w:rPr>
          <w:rFonts w:ascii="Trebuchet MS" w:cs="Trebuchet MS" w:eastAsia="Trebuchet MS" w:hAnsi="Trebuchet MS"/>
          <w:color w:val="4A3525"/>
          <w:sz w:val="20"/>
          <w:szCs w:val="20"/>
        </w:rPr>
        <w:t xml:space="preserve">Sundarkand Path — bookable</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Sundarkand for Beginners · Ramcharitmanas: The Seven Kandas</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Hanuman Jayanti · Purnima dates</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After Myths &amp; Facts. No remedial framing in any CTA.</w:t>
      </w:r>
    </w:p>
    <w:p>
      <w:pPr>
        <w:pStyle w:val="ListParagraph"/>
        <w:numPr>
          <w:ilvl w:val="0"/>
          <w:numId w:val="1"/>
        </w:numPr>
        <w:spacing w:after="95" w:line="300"/>
      </w:pPr>
      <w:r>
        <w:rPr>
          <w:rFonts w:ascii="Trebuchet MS" w:cs="Trebuchet MS" w:eastAsia="Trebuchet MS" w:hAnsi="Trebuchet MS"/>
          <w:color w:val="4A3525"/>
          <w:sz w:val="20"/>
          <w:szCs w:val="20"/>
        </w:rPr>
        <w:t xml:space="preserve">Buy the ritual kit for this path</w:t>
      </w:r>
    </w:p>
    <w:p>
      <w:pPr>
        <w:pStyle w:val="ListParagraph"/>
        <w:numPr>
          <w:ilvl w:val="0"/>
          <w:numId w:val="1"/>
        </w:numPr>
        <w:spacing w:after="95" w:line="300"/>
      </w:pPr>
      <w:r>
        <w:rPr>
          <w:rFonts w:ascii="Trebuchet MS" w:cs="Trebuchet MS" w:eastAsia="Trebuchet MS" w:hAnsi="Trebuchet MS"/>
          <w:color w:val="4A3525"/>
          <w:sz w:val="20"/>
          <w:szCs w:val="20"/>
        </w:rPr>
        <w:t xml:space="preserve">Book a Sundarkand path</w:t>
      </w:r>
    </w:p>
    <w:p>
      <w:pPr>
        <w:pStyle w:val="ListParagraph"/>
        <w:numPr>
          <w:ilvl w:val="0"/>
          <w:numId w:val="1"/>
        </w:numPr>
        <w:spacing w:after="95" w:line="300"/>
      </w:pPr>
      <w:r>
        <w:rPr>
          <w:rFonts w:ascii="Trebuchet MS" w:cs="Trebuchet MS" w:eastAsia="Trebuchet MS" w:hAnsi="Trebuchet MS"/>
          <w:color w:val="4A3525"/>
          <w:sz w:val="20"/>
          <w:szCs w:val="20"/>
        </w:rPr>
        <w:t xml:space="preserve">WhatsApp nudge — ₹499/yr, generic copy</w:t>
      </w:r>
    </w:p>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Ritual Guide — Sundarkand Path</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2026-08-09T17:29:41.210Z</dcterms:created>
  <dcterms:modified xsi:type="dcterms:W3CDTF">2026-08-09T17:29:41.210Z</dcterms:modified>
</cp:coreProperties>
</file>

<file path=docProps/custom.xml><?xml version="1.0" encoding="utf-8"?>
<Properties xmlns="http://schemas.openxmlformats.org/officeDocument/2006/custom-properties" xmlns:vt="http://schemas.openxmlformats.org/officeDocument/2006/docPropsVTypes"/>
</file>