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DHARMIC CONCEPT</w:t>
      </w:r>
    </w:p>
    <w:p>
      <w:pPr>
        <w:spacing w:after="70" w:line="300"/>
      </w:pPr>
      <w:r>
        <w:rPr>
          <w:rFonts w:ascii="Trebuchet MS" w:cs="Trebuchet MS" w:eastAsia="Trebuchet MS" w:hAnsi="Trebuchet MS"/>
          <w:b/>
          <w:bCs/>
          <w:i w:val="false"/>
          <w:iCs w:val="false"/>
          <w:color w:val="4A3525"/>
          <w:sz w:val="28"/>
          <w:szCs w:val="28"/>
        </w:rPr>
        <w:t xml:space="preserve">Why Is This Kanda Called ‘Sundar’?</w:t>
      </w:r>
    </w:p>
    <w:p>
      <w:pPr>
        <w:spacing w:after="60" w:line="300"/>
      </w:pPr>
      <w:r>
        <w:rPr>
          <w:rFonts w:ascii="Trebuchet MS" w:cs="Trebuchet MS" w:eastAsia="Trebuchet MS" w:hAnsi="Trebuchet MS"/>
          <w:b w:val="false"/>
          <w:bCs w:val="false"/>
          <w:i/>
          <w:iCs/>
          <w:color w:val="8A7B68"/>
          <w:sz w:val="20"/>
          <w:szCs w:val="20"/>
        </w:rPr>
        <w:t xml:space="preserve">The name itself is a teaching — four readings of one word</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THREE THINGS TO FIX — one is factual and should be caught before anything else.</w:t>
      </w:r>
    </w:p>
    <w:p>
      <w:pPr>
        <w:spacing w:after="145" w:line="300"/>
      </w:pPr>
      <w:r>
        <w:rPr>
          <w:rFonts w:ascii="Trebuchet MS" w:cs="Trebuchet MS" w:eastAsia="Trebuchet MS" w:hAnsi="Trebuchet MS"/>
          <w:b/>
          <w:bCs/>
          <w:i w:val="false"/>
          <w:iCs w:val="false"/>
          <w:color w:val="4A3525"/>
          <w:sz w:val="20"/>
          <w:szCs w:val="20"/>
        </w:rPr>
        <w:t xml:space="preserve">1. Tulsidas did not choose the name. The earlier draft’s third reading said “Tulsidas is said to have chosen the name for what the kanda depicts”. The name Sundara Kanda is Valmiki’s — it predates the Ramcharitmanas by a very long way, and Tulsidas inherited it along with the structure of the epic. The reading itself is worth keeping, as an interpretation of why the name fits. The attribution of the choice is wrong and has been removed.</w:t>
      </w:r>
    </w:p>
    <w:p>
      <w:pPr>
        <w:spacing w:after="145" w:line="300"/>
      </w:pPr>
      <w:r>
        <w:rPr>
          <w:rFonts w:ascii="Trebuchet MS" w:cs="Trebuchet MS" w:eastAsia="Trebuchet MS" w:hAnsi="Trebuchet MS"/>
          <w:b w:val="false"/>
          <w:bCs w:val="false"/>
          <w:i w:val="false"/>
          <w:iCs w:val="false"/>
          <w:color w:val="4A3525"/>
          <w:sz w:val="20"/>
          <w:szCs w:val="20"/>
        </w:rPr>
        <w:t xml:space="preserve">2. The draft contradicted itself. Its Dharma list said all four readings come from the textual and commentarial tradition; its Pratha list said the childhood-name association is attributed by some commentators and not others. Both cannot be true. The four readings are now tagged individually, and they do not all land in the same place.</w:t>
      </w:r>
    </w:p>
    <w:p>
      <w:pPr>
        <w:spacing w:after="145" w:line="300"/>
      </w:pPr>
      <w:r>
        <w:rPr>
          <w:rFonts w:ascii="Trebuchet MS" w:cs="Trebuchet MS" w:eastAsia="Trebuchet MS" w:hAnsi="Trebuchet MS"/>
          <w:b w:val="false"/>
          <w:bCs w:val="false"/>
          <w:i w:val="false"/>
          <w:iCs w:val="false"/>
          <w:color w:val="4A3525"/>
          <w:sz w:val="20"/>
          <w:szCs w:val="20"/>
        </w:rPr>
        <w:t xml:space="preserve">3. Score. The draft carried 4/5 on the grounds that the four etymologies are attested across commentarial literature — while its own Stage 2 checklist asked someone to “cite at least one classical commentator”, meaning none was cited. Commentarial literature is Tier 3 in any case. The 4/5 now rests on something simpler and unarguable: the kanda is titled Sundara in the Valmiki Ramayana. That is a plain textual fact at Tier 2.</w:t>
      </w:r>
    </w:p>
    <w:p>
      <w:pPr>
        <w:spacing w:after="110" w:before="260"/>
      </w:pPr>
      <w:r>
        <w:rPr>
          <w:rFonts w:ascii="Trebuchet MS" w:cs="Trebuchet MS" w:eastAsia="Trebuchet MS" w:hAnsi="Trebuchet MS"/>
          <w:b/>
          <w:bCs/>
          <w:color w:val="4A3525"/>
          <w:sz w:val="22"/>
          <w:szCs w:val="22"/>
        </w:rPr>
        <w:t xml:space="preserve">A framework question this article raises</w:t>
      </w:r>
    </w:p>
    <w:p>
      <w:pPr>
        <w:spacing w:after="145" w:line="300"/>
      </w:pPr>
      <w:r>
        <w:rPr>
          <w:rFonts w:ascii="Trebuchet MS" w:cs="Trebuchet MS" w:eastAsia="Trebuchet MS" w:hAnsi="Trebuchet MS"/>
          <w:b w:val="false"/>
          <w:bCs w:val="false"/>
          <w:i w:val="false"/>
          <w:iCs w:val="false"/>
          <w:color w:val="4A3525"/>
          <w:sz w:val="20"/>
          <w:szCs w:val="20"/>
        </w:rPr>
        <w:t xml:space="preserve">The fourth reading — that Sundarkand is the finest-constructed section of the epic — is a literary judgement. It is not Dharma, not Pratha and not Bhranti. It is a scholarly assessment, and the DPB system has nothing to say about whether it is correct.</w:t>
      </w:r>
    </w:p>
    <w:p>
      <w:pPr>
        <w:spacing w:after="145" w:line="300"/>
      </w:pPr>
      <w:r>
        <w:rPr>
          <w:rFonts w:ascii="Trebuchet MS" w:cs="Trebuchet MS" w:eastAsia="Trebuchet MS" w:hAnsi="Trebuchet MS"/>
          <w:b/>
          <w:bCs/>
          <w:i w:val="false"/>
          <w:iCs w:val="false"/>
          <w:color w:val="4A3525"/>
          <w:sz w:val="20"/>
          <w:szCs w:val="20"/>
        </w:rPr>
        <w:t xml:space="preserve">Handled here the same way calendar facts are handled in the Panchang articles: left untagged, with the tagging log recording it as outside the system rather than forcing it into a category. Recommend the Editorial Framework state this explicitly — not every sentence in an article is a DPB claim, and facts, dates and aesthetic judgements sit outside it. Writers currently have no guidance and will reach for Pratha by default, which quietly turns Pratha into a bin for anything unsourced.</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fifth kanda of the Ramayana is titled Sundara — named for a quality, not a place or a phase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Itihasa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Valmiki Ramayana — the title appears in the text. Carried into the Ramcharitmanas.</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 the four readings</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Tagged individually below. One is commentarial, one is textual, one is interpretation, one is literary judgement and sits outside DPB entirely.</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claim · 1 scriptural element · 3 readings · 1 untagged assessment · 2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fifth kanda is titled Sundara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Valmiki Ramayana — the title itself.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Every other kanda is named for a place or a phase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Verifiable from the titles: Bala, Ayodhya, Aranya, Kishkindha, Lanka, Uttara.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Lanka described as a city of great beauty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Described in the text — not merely commentarial.</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 as Hanuman’s childhood name from Anjana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Attributed by some commentators, not others. The draft’s own Pratha list said so. Not confirmed in a named text — Stage 2 to locate or record as unlocated.</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name as a reading of devotion under pressure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Interpretation. Genuinely traditional, not traceable to a named source, and NOT attributable to Tulsidas as a choice.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Sundarkand as the finest-constructed section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Literary judgement. Outside DPB. Do not tag — see the framework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“Named beautiful for its action scenes”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Modern entertainment reading imposed on the etymology.</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“One reading is definitive and the others are wrong”</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Contradicts how the tradition actually holds the name.</w:t>
            </w:r>
          </w:p>
        </w:tc>
      </w:tr>
    </w:tbl>
    <w:p>
      <w:pPr>
        <w:spacing w:after="190"/>
      </w:pPr>
    </w:p>
    <w:p>
      <w:pPr>
        <w:spacing w:after="110" w:before="260"/>
      </w:pPr>
      <w:r>
        <w:rPr>
          <w:rFonts w:ascii="Trebuchet MS" w:cs="Trebuchet MS" w:eastAsia="Trebuchet MS" w:hAnsi="Trebuchet MS"/>
          <w:b/>
          <w:bCs/>
          <w:color w:val="4A3525"/>
          <w:sz w:val="22"/>
          <w:szCs w:val="22"/>
        </w:rPr>
        <w:t xml:space="preserve">Stage 2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PRIORITY — confirm the name Sundara Kanda originates with Valmiki and that no part of the article implies Tulsidas named it.</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Locate the Anjana naming tradition in a named source, or record it as unlocated and hold at Pratha.</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For the literary-excellence reading, cite at least one named commentator or scholar, or present it as a widely held view without attribution. Do not leave it as an unattributed superlative.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the description of Lanka’s beauty is in the primary text and not only in commentary.</w:t>
            </w:r>
          </w:p>
        </w:tc>
      </w:tr>
    </w:tbl>
    <w:p>
      <w:pPr>
        <w:spacing w:after="190"/>
      </w:pPr>
    </w:p>
    <w:p>
      <w:pPr>
        <w:spacing w:after="110" w:before="260"/>
      </w:pPr>
      <w:r>
        <w:rPr>
          <w:rFonts w:ascii="Trebuchet MS" w:cs="Trebuchet MS" w:eastAsia="Trebuchet MS" w:hAnsi="Trebuchet MS"/>
          <w:b/>
          <w:bCs/>
          <w:color w:val="4A3525"/>
          <w:sz w:val="22"/>
          <w:szCs w:val="22"/>
        </w:rPr>
        <w:t xml:space="preserve">Connections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Component</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Pairing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This and “Why Is Sundarkand Recited Separately?” are a matched pair — one on the name, one on the structure. Keep them consistent; if the tier decision changes one, it changes both.</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Companion button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Where this is practised → Sundarkand Path: Complete Home Puja Vidhi</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Commerce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None.</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claim — The fifth kanda of the Ramayana is titled Sundara, named for a quality rather than a place</w:t>
      </w:r>
    </w:p>
    <w:p>
      <w:pPr>
        <w:spacing w:after="145" w:line="300"/>
      </w:pPr>
      <w:r>
        <w:rPr>
          <w:rFonts w:ascii="Trebuchet MS" w:cs="Trebuchet MS" w:eastAsia="Trebuchet MS" w:hAnsi="Trebuchet MS"/>
          <w:b/>
          <w:bCs/>
          <w:i w:val="false"/>
          <w:iCs w:val="false"/>
          <w:color w:val="27500A"/>
          <w:sz w:val="20"/>
          <w:szCs w:val="20"/>
        </w:rPr>
        <w:t xml:space="preserve">Dharma · 4/5 · Valmiki Ramayana</w:t>
      </w:r>
    </w:p>
    <w:p>
      <w:pPr>
        <w:spacing w:after="145" w:line="300"/>
      </w:pPr>
      <w:r>
        <w:rPr>
          <w:rFonts w:ascii="Trebuchet MS" w:cs="Trebuchet MS" w:eastAsia="Trebuchet MS" w:hAnsi="Trebuchet MS"/>
          <w:b w:val="false"/>
          <w:bCs w:val="false"/>
          <w:i w:val="false"/>
          <w:iCs w:val="false"/>
          <w:color w:val="8A7B68"/>
          <w:sz w:val="18"/>
          <w:szCs w:val="18"/>
        </w:rPr>
        <w:t xml:space="preserve">This piece: 1 core claim · 1 scriptural element · 3 readings · 2 corrections</w:t>
      </w:r>
    </w:p>
    <w:p>
      <w:pPr>
        <w:spacing w:after="190"/>
      </w:pPr>
    </w:p>
    <w:p>
      <w:pPr>
        <w:spacing w:after="110" w:before="260"/>
      </w:pPr>
      <w:r>
        <w:rPr>
          <w:rFonts w:ascii="Trebuchet MS" w:cs="Trebuchet MS" w:eastAsia="Trebuchet MS" w:hAnsi="Trebuchet MS"/>
          <w:b/>
          <w:bCs/>
          <w:color w:val="4A3525"/>
          <w:sz w:val="22"/>
          <w:szCs w:val="22"/>
        </w:rPr>
        <w:t xml:space="preserve">The question the name asks</w:t>
      </w:r>
    </w:p>
    <w:p>
      <w:pPr>
        <w:spacing w:after="145" w:line="300"/>
      </w:pPr>
      <w:r>
        <w:rPr>
          <w:rFonts w:ascii="Trebuchet MS" w:cs="Trebuchet MS" w:eastAsia="Trebuchet MS" w:hAnsi="Trebuchet MS"/>
          <w:b w:val="false"/>
          <w:bCs w:val="false"/>
          <w:i w:val="false"/>
          <w:iCs w:val="false"/>
          <w:color w:val="4A3525"/>
          <w:sz w:val="20"/>
          <w:szCs w:val="20"/>
        </w:rPr>
        <w:t xml:space="preserve">Every other kanda in the Ramayana is named for a place or a phase of life. Bala — childhood. Ayodhya — the city. Aranya — the forest. Kishkindha — the vanara kingdom. Lanka — the war. Uttara — the aftermath. Six names that tell you where, or when.</w:t>
      </w:r>
    </w:p>
    <w:p>
      <w:pPr>
        <w:spacing w:after="145" w:line="300"/>
      </w:pPr>
      <w:r>
        <w:rPr>
          <w:rFonts w:ascii="Trebuchet MS" w:cs="Trebuchet MS" w:eastAsia="Trebuchet MS" w:hAnsi="Trebuchet MS"/>
          <w:color w:val="4A3525"/>
          <w:sz w:val="20"/>
          <w:szCs w:val="20"/>
        </w:rPr>
        <w:t xml:space="preserve">The fifth breaks the pattern. It is not named for Lanka, where it is set, nor for the ocean that Hanuman crosses. It is named for a quality: Sundara. Beautiful.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b w:val="false"/>
          <w:bCs w:val="false"/>
          <w:i w:val="false"/>
          <w:iCs w:val="false"/>
          <w:color w:val="4A3525"/>
          <w:sz w:val="20"/>
          <w:szCs w:val="20"/>
        </w:rPr>
        <w:t xml:space="preserve">The tradition offers not one explanation but several, and holds them together rather than choosing between them.</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Gita Press Ramcharitmanas open at the Sundarkand title page, a lit diya beside it. Devanagari visible but not legible.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Saffron, red cover, brass, warm paper</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One word. Several meanings. The tradition holds them all.</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deity image. No legible text. No figures.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The name as Hanuman’s</w:t>
      </w:r>
    </w:p>
    <w:p>
      <w:pPr>
        <w:spacing w:after="145" w:line="300"/>
      </w:pPr>
      <w:r>
        <w:rPr>
          <w:rFonts w:ascii="Trebuchet MS" w:cs="Trebuchet MS" w:eastAsia="Trebuchet MS" w:hAnsi="Trebuchet MS"/>
          <w:color w:val="4A3525"/>
          <w:sz w:val="20"/>
          <w:szCs w:val="20"/>
        </w:rPr>
        <w:t xml:space="preserve">One reading holds that Sundar was the name Anjana gave her son, and that the kanda is named for its protagonist — the beautiful one, whose devotion is the most beautiful thing in the epic. Some commentators carry this; others do not, and we have not been able to locate it in a named text. It is a reading worth knowing and not one we can source for you.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The name as Lanka’s</w:t>
      </w:r>
    </w:p>
    <w:p>
      <w:pPr>
        <w:spacing w:after="145" w:line="300"/>
      </w:pPr>
      <w:r>
        <w:rPr>
          <w:rFonts w:ascii="Trebuchet MS" w:cs="Trebuchet MS" w:eastAsia="Trebuchet MS" w:hAnsi="Trebuchet MS"/>
          <w:color w:val="4A3525"/>
          <w:sz w:val="20"/>
          <w:szCs w:val="20"/>
        </w:rPr>
        <w:t xml:space="preserve">Lanka is described in the text as a city of extraordinary beauty — gold-worked, built by Vishwakarma, splendid at every turn. On this reading the kanda takes its name from where it is set.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b w:val="false"/>
          <w:bCs w:val="false"/>
          <w:i w:val="false"/>
          <w:iCs w:val="false"/>
          <w:color w:val="4A3525"/>
          <w:sz w:val="20"/>
          <w:szCs w:val="20"/>
        </w:rPr>
        <w:t xml:space="preserve">There is a hard irony in it, and the tradition does not soften it. The most beautiful city in the story contains its ugliest fact. Hanuman walks through gold-plated streets past Ravana’s queens and his splendour, and finds a woman under a tree, thin and guarded and refusing to break. The beauty and the captivity are in the same place, which may be the point.</w:t>
      </w:r>
    </w:p>
    <w:p>
      <w:pPr>
        <w:spacing w:after="110" w:before="260"/>
      </w:pPr>
      <w:r>
        <w:rPr>
          <w:rFonts w:ascii="Trebuchet MS" w:cs="Trebuchet MS" w:eastAsia="Trebuchet MS" w:hAnsi="Trebuchet MS"/>
          <w:b/>
          <w:bCs/>
          <w:color w:val="4A3525"/>
          <w:sz w:val="22"/>
          <w:szCs w:val="22"/>
        </w:rPr>
        <w:t xml:space="preserve">The name as devotion under pressure</w:t>
      </w:r>
    </w:p>
    <w:p>
      <w:pPr>
        <w:spacing w:after="145" w:line="300"/>
      </w:pPr>
      <w:r>
        <w:rPr>
          <w:rFonts w:ascii="Trebuchet MS" w:cs="Trebuchet MS" w:eastAsia="Trebuchet MS" w:hAnsi="Trebuchet MS"/>
          <w:color w:val="4A3525"/>
          <w:sz w:val="20"/>
          <w:szCs w:val="20"/>
        </w:rPr>
        <w:t xml:space="preserve">A third reading takes the name as describing what the kanda depicts: faith functioning when everything is against it. Hanuman’s devotion is beautiful not because it is easy but because it operates at maximum difficulty — alone, in hostile territory, with no assurance of success and no way home if he fails. This is interpretation rather than citation, and it is genuinely traditional.  </w:t>
      </w:r>
      <w:r>
        <w:rPr>
          <w:rFonts w:ascii="Trebuchet MS" w:cs="Trebuchet MS" w:eastAsia="Trebuchet MS" w:hAnsi="Trebuchet MS"/>
          <w:b/>
          <w:bCs/>
          <w:color w:val="A07800"/>
          <w:sz w:val="16"/>
          <w:szCs w:val="16"/>
        </w:rPr>
        <w:t xml:space="preserve">[Pratha · 2/5]</w:t>
      </w:r>
    </w:p>
    <w:p>
      <w:pPr>
        <w:spacing w:after="145" w:line="300"/>
      </w:pPr>
      <w:r>
        <w:rPr>
          <w:rFonts w:ascii="Trebuchet MS" w:cs="Trebuchet MS" w:eastAsia="Trebuchet MS" w:hAnsi="Trebuchet MS"/>
          <w:b w:val="false"/>
          <w:bCs w:val="false"/>
          <w:i/>
          <w:iCs/>
          <w:color w:val="4A3525"/>
          <w:sz w:val="20"/>
          <w:szCs w:val="20"/>
        </w:rPr>
        <w:t xml:space="preserve">Worth being precise about one thing: the name is Valmiki’s, not Tulsidas’s. Sundara Kanda is what the section is called in the Sanskrit epic, centuries before the Ramcharitmanas was written. Tulsidas inherited the name along with the structure. This reading explains why the name fits; it does not describe anyone’s decision to give it.</w:t>
      </w:r>
    </w:p>
    <w:p>
      <w:pPr>
        <w:spacing w:after="110" w:before="260"/>
      </w:pPr>
      <w:r>
        <w:rPr>
          <w:rFonts w:ascii="Trebuchet MS" w:cs="Trebuchet MS" w:eastAsia="Trebuchet MS" w:hAnsi="Trebuchet MS"/>
          <w:b/>
          <w:bCs/>
          <w:color w:val="4A3525"/>
          <w:sz w:val="22"/>
          <w:szCs w:val="22"/>
        </w:rPr>
        <w:t xml:space="preserve">The name as literary judgement</w:t>
      </w:r>
    </w:p>
    <w:p>
      <w:pPr>
        <w:spacing w:after="145" w:line="300"/>
      </w:pPr>
      <w:r>
        <w:rPr>
          <w:rFonts w:ascii="Trebuchet MS" w:cs="Trebuchet MS" w:eastAsia="Trebuchet MS" w:hAnsi="Trebuchet MS"/>
          <w:b w:val="false"/>
          <w:bCs w:val="false"/>
          <w:i w:val="false"/>
          <w:iCs w:val="false"/>
          <w:color w:val="4A3525"/>
          <w:sz w:val="20"/>
          <w:szCs w:val="20"/>
        </w:rPr>
        <w:t xml:space="preserve">The fourth reading is not a religious claim at all, and it is worth marking as such. Scholars of both the Sanskrit and the Awadhi text have long held that this is the most tightly constructed section of the epic — the pacing, the emotional architecture, the sequencing of episodes. On that reading it is called beautiful because, as literature, it is.</w:t>
      </w:r>
    </w:p>
    <w:p>
      <w:pPr>
        <w:spacing w:after="145" w:line="300"/>
      </w:pPr>
      <w:r>
        <w:rPr>
          <w:rFonts w:ascii="Trebuchet MS" w:cs="Trebuchet MS" w:eastAsia="Trebuchet MS" w:hAnsi="Trebuchet MS"/>
          <w:b w:val="false"/>
          <w:bCs w:val="false"/>
          <w:i/>
          <w:iCs/>
          <w:color w:val="4A3525"/>
          <w:sz w:val="20"/>
          <w:szCs w:val="20"/>
        </w:rPr>
        <w:t xml:space="preserve">We carry no tag on that sentence. It is an assessment of writing, and our classification system has nothing useful to say about whether an assessment of writing is correct. You are welcome to disagree with it.</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 is called beautiful because it has the most dramatic action.”</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name refers to qualities the tradition has read into it — devotion, the city, the construction of the text, possibly Hanuman’s own name. Reading it as a compliment to the action sequences is a modern entertainment framing imported onto an old title.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name has one true meaning and the other readings are wrong.”</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tradition holds several readings at once, which is standard in Sanskrit interpretation — a word carries multiple valid senses and the richness lies in holding them together. Being asked to pick one is a habit from a different way of reading.</w:t>
            </w:r>
          </w:p>
        </w:tc>
      </w:tr>
    </w:tbl>
    <w:p>
      <w:pPr>
        <w:spacing w:after="190"/>
      </w:pPr>
    </w:p>
    <w:p>
      <w:pPr>
        <w:spacing w:after="110" w:before="260"/>
      </w:pPr>
      <w:r>
        <w:rPr>
          <w:rFonts w:ascii="Trebuchet MS" w:cs="Trebuchet MS" w:eastAsia="Trebuchet MS" w:hAnsi="Trebuchet MS"/>
          <w:b/>
          <w:bCs/>
          <w:color w:val="4A3525"/>
          <w:sz w:val="22"/>
          <w:szCs w:val="22"/>
        </w:rPr>
        <w:t xml:space="preserve">The reframe</w:t>
      </w:r>
    </w:p>
    <w:p>
      <w:pPr>
        <w:spacing w:after="145" w:line="300"/>
      </w:pPr>
      <w:r>
        <w:rPr>
          <w:rFonts w:ascii="Trebuchet MS" w:cs="Trebuchet MS" w:eastAsia="Trebuchet MS" w:hAnsi="Trebuchet MS"/>
          <w:b w:val="false"/>
          <w:bCs w:val="false"/>
          <w:i w:val="false"/>
          <w:iCs w:val="false"/>
          <w:color w:val="4A3525"/>
          <w:sz w:val="20"/>
          <w:szCs w:val="20"/>
        </w:rPr>
        <w:t xml:space="preserve">The name does not describe the events. It describes what the events reveal — that devotion under pressure, service performed in the absence of the one you serve, and the willingness to walk into a beautiful prison to find somebody suffering inside it, is the most beautiful thing this tradition knows how to show you.</w:t>
      </w:r>
    </w:p>
    <w:p>
      <w:pPr>
        <w:spacing w:after="145" w:line="300"/>
      </w:pPr>
      <w:r>
        <w:rPr>
          <w:rFonts w:ascii="Trebuchet MS" w:cs="Trebuchet MS" w:eastAsia="Trebuchet MS" w:hAnsi="Trebuchet MS"/>
          <w:b w:val="false"/>
          <w:bCs w:val="false"/>
          <w:i w:val="false"/>
          <w:iCs w:val="false"/>
          <w:color w:val="4A3525"/>
          <w:sz w:val="20"/>
          <w:szCs w:val="20"/>
        </w:rPr>
        <w:t xml:space="preserve">Six kandas are named for where you are. One is named for what it is like to be there.</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Complete Home Puja Vidhi · Hanuman Chalisa</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Why Is Sundarkand Recited Separately? · What Does Sundarkand Actually Contain? · Ramcharitmanas: The Seven Kandas</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Hanuman Jayanti · Purnima dates</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Sticky bar: Download only or absent. 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Dharmic Concept — Why This Kanda Is Called Sundar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2026-08-09T17:58:56.589Z</dcterms:created>
  <dcterms:modified xsi:type="dcterms:W3CDTF">2026-08-09T17:58:56.602Z</dcterms:modified>
</cp:coreProperties>
</file>

<file path=docProps/custom.xml><?xml version="1.0" encoding="utf-8"?>
<Properties xmlns="http://schemas.openxmlformats.org/officeDocument/2006/custom-properties" xmlns:vt="http://schemas.openxmlformats.org/officeDocument/2006/docPropsVTypes"/>
</file>