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F0" w:rsidRDefault="00EE4BFC" w:rsidP="00EE4BFC">
      <w:pPr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</w:pPr>
      <w:proofErr w:type="spellStart"/>
      <w:r w:rsidRPr="00EE4BFC"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  <w:t>AREVEAToken</w:t>
      </w:r>
      <w:proofErr w:type="spellEnd"/>
    </w:p>
    <w:p w:rsidR="00EE4BFC" w:rsidRDefault="00EE4BFC" w:rsidP="00EE4BFC">
      <w:pP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  <w:t>Table of contents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Decentralized coin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Arevea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Token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Disclaimer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Decentralized coin</w:t>
      </w:r>
      <w:proofErr w:type="gram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We strive to help communities with token ERC20(Decentralized applications) &amp; other crypto-related media. ARE ERC20 </w:t>
      </w:r>
    </w:p>
    <w:p w:rsidR="00EE4BFC" w:rsidRDefault="007818C5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Are crypto-related services help to build the community for their platform to promote their product and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business.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It is becoming the most powerful tool for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blockchain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development and use cases. We help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bring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project to the masses using a specialized marketing strategy that will help build a community for good. </w:t>
      </w:r>
    </w:p>
    <w:p w:rsidR="007818C5" w:rsidRDefault="007818C5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And we believe honesty and integrity is always the best policy. Our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services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ca are fully transparent. </w:t>
      </w:r>
    </w:p>
    <w:p w:rsidR="005919A0" w:rsidRDefault="00A719BE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What makes </w:t>
      </w:r>
      <w:r w:rsidR="00023A87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us different we 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have a unique coin functionality anyone can mint and generate a coin for their purpose and it is one of the decentralized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forms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that makes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</w:t>
      </w:r>
      <w:r w:rsidR="003B638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he difference.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</w:p>
    <w:p w:rsidR="003B6383" w:rsidRDefault="003B6383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Arevea</w:t>
      </w:r>
      <w:proofErr w:type="spellEnd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 Token</w:t>
      </w:r>
      <w:proofErr w:type="gram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it is  ARE coins users can able generate coins they want not beyond the maximum cap of 3 trillion and with an initial supply of 1 million </w:t>
      </w:r>
    </w:p>
    <w:p w:rsidR="003B6383" w:rsidRDefault="003B6383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And user and mint and burn coins also as per requirement. And users can transfer coins and finally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user can spend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amount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accordingly, and apart user has a spending control options to control </w:t>
      </w:r>
      <w:r w:rsidR="00F25A6C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the spending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of </w:t>
      </w:r>
      <w:r w:rsidR="00F25A6C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recipient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BC7CCE" w:rsidRDefault="00BC7CCE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deployed in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Ropsten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test network</w:t>
      </w:r>
    </w:p>
    <w:p w:rsidR="009E1D6A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Address- </w:t>
      </w:r>
      <w:r w:rsidR="009E1D6A" w:rsidRPr="009E1D6A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0x588fc28802f009ff3cbedfb660c05aaf6d3f4ac0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Issuer Address - </w:t>
      </w:r>
      <w:r w:rsidR="009E1D6A" w:rsidRPr="009E1D6A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0x2258c5b9c82ff0fa923756ed3fd2acb5616df57c</w:t>
      </w:r>
    </w:p>
    <w:p w:rsidR="00BC7CCE" w:rsidRDefault="00BC7CCE" w:rsidP="003B6383">
      <w:pPr>
        <w:spacing w:after="0"/>
        <w:rPr>
          <w:rStyle w:val="text-primary"/>
        </w:rPr>
      </w:pPr>
      <w:r>
        <w:rPr>
          <w:rStyle w:val="text-success"/>
        </w:rPr>
        <w:lastRenderedPageBreak/>
        <w:t xml:space="preserve">Successfully generated </w:t>
      </w:r>
      <w:proofErr w:type="spellStart"/>
      <w:r>
        <w:rPr>
          <w:rStyle w:val="text-success"/>
        </w:rPr>
        <w:t>ByteCode</w:t>
      </w:r>
      <w:proofErr w:type="spellEnd"/>
      <w:r>
        <w:rPr>
          <w:rStyle w:val="text-success"/>
        </w:rPr>
        <w:t xml:space="preserve"> and ABI for Contract Address </w:t>
      </w:r>
      <w:hyperlink r:id="rId5" w:anchor="code" w:history="1">
        <w:r>
          <w:rPr>
            <w:rStyle w:val="Hyperlink"/>
          </w:rPr>
          <w:t>[0x588fc28802f009ff3cbedfb660c05aaf6d3f4ac0]</w:t>
        </w:r>
      </w:hyperlink>
    </w:p>
    <w:p w:rsidR="00BC7CCE" w:rsidRDefault="00BC7CCE" w:rsidP="003B6383">
      <w:pPr>
        <w:spacing w:after="0"/>
        <w:rPr>
          <w:rStyle w:val="text-primary"/>
        </w:rPr>
      </w:pPr>
      <w:r>
        <w:rPr>
          <w:rStyle w:val="text-primary"/>
        </w:rPr>
        <w:t xml:space="preserve">Transaction HASH </w:t>
      </w:r>
    </w:p>
    <w:p w:rsidR="00BC7CCE" w:rsidRDefault="00BC7CCE" w:rsidP="003B6383">
      <w:pPr>
        <w:spacing w:after="0"/>
        <w:rPr>
          <w:rStyle w:val="text-primary"/>
        </w:rPr>
      </w:pPr>
      <w:hyperlink r:id="rId6" w:history="1">
        <w:r>
          <w:rPr>
            <w:rStyle w:val="Hyperlink"/>
          </w:rPr>
          <w:t>0x358db3ac768b815b3e0220fadd14d7f69c12d025902a41a27dac8375c9348dcf</w:t>
        </w:r>
      </w:hyperlink>
    </w:p>
    <w:p w:rsidR="00BD11B4" w:rsidRDefault="00BD11B4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E1D6A" w:rsidRDefault="00BD11B4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Deployed contract address </w:t>
      </w:r>
      <w:r w:rsidRPr="00BD11B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0x588FC28802F009fF3cBEdFb660c05AaF6D3f4AC0</w:t>
      </w:r>
    </w:p>
    <w:p w:rsidR="00BD11B4" w:rsidRDefault="00BD11B4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Initial supply -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1000000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Total supply – between initial and max supply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Max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supply  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1000000000000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Symbol – AVA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Token name – AREVEA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Decimals -18</w:t>
      </w:r>
    </w:p>
    <w:p w:rsidR="009B36DE" w:rsidRDefault="009B36DE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B36DE" w:rsidRDefault="009B36DE" w:rsidP="009B36DE">
      <w:pPr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  <w:r w:rsidRPr="009B36DE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</w:p>
    <w:p w:rsidR="009B36DE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How the contract works and steps and functionality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initialized with a function called the initial supply of 1000000 it is the contract creator or the initial owner created with an initial supply of amount.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Contract has a Maximum supply which means the total supply, the total circulation of money cannot go beyond the max supply ex- 1 trillion is total circulation.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Name: is the token name and symbol is token symbol and decimal refers to 18 eths in circulation.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How to check the owner(contract creator) initial balance </w:t>
      </w:r>
    </w:p>
    <w:p w:rsid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Copy owner address - </w:t>
      </w:r>
      <w:r w:rsidRPr="004D410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</w:p>
    <w:p w:rsid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Paste in address field and press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enter  –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balanceOf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-</w:t>
      </w:r>
      <w:r w:rsidRPr="004D410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 </w:t>
      </w:r>
    </w:p>
    <w:p w:rsidR="004D410D" w:rsidRPr="00732E8D" w:rsidRDefault="00603D8B" w:rsidP="00732E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proofErr w:type="gramStart"/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Lets</w:t>
      </w:r>
      <w:proofErr w:type="spellEnd"/>
      <w:proofErr w:type="gramEnd"/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talk about mint and burn functionality – it is the function to generate </w:t>
      </w:r>
      <w:r w:rsid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coins</w:t>
      </w:r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and destroy coins in circulation. </w:t>
      </w:r>
      <w:r w:rsidR="00732E8D"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Only </w:t>
      </w:r>
      <w:r w:rsid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732E8D"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owner can mint and burn</w:t>
      </w:r>
    </w:p>
    <w:p w:rsidR="00732E8D" w:rsidRDefault="00732E8D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owner add: </w:t>
      </w:r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EF303F" w:rsidRDefault="00EF303F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Under captainship of owner any</w:t>
      </w:r>
      <w:r w:rsidR="00D82E9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one want to mint can burn</w:t>
      </w:r>
      <w:r w:rsidR="00CD64B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.</w:t>
      </w:r>
    </w:p>
    <w:p w:rsidR="00CD64BB" w:rsidRDefault="00CD64BB" w:rsidP="00CD64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Transfer: The contract owner can transfer to anyone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not another person </w:t>
      </w:r>
    </w:p>
    <w:p w:rsidR="00CD64BB" w:rsidRDefault="00CD64BB" w:rsidP="00CD64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Transfer-ownership: this will transfer the ownership to anyone </w:t>
      </w:r>
    </w:p>
    <w:p w:rsidR="00E75272" w:rsidRDefault="00CD64BB" w:rsidP="00E752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Lets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talk about Transfer from: in order to work this function 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owner must allow the amount to spend both spender and recipient allows using approve function in order to work well. </w:t>
      </w:r>
    </w:p>
    <w:p w:rsidR="00A80104" w:rsidRDefault="00E75272" w:rsidP="00A80104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lastRenderedPageBreak/>
        <w:t xml:space="preserve">Increase and decrease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P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allowance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is used to set increase or decrease spendin</w:t>
      </w:r>
      <w:r w:rsidR="00A8010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g approval</w:t>
      </w:r>
    </w:p>
    <w:p w:rsidR="00A80104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A80104" w:rsidRPr="00C70CE3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A80104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Disclaimer:-</w:t>
      </w:r>
      <w:r w:rsidR="00C70CE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This section is intentionally blank. </w:t>
      </w:r>
    </w:p>
    <w:p w:rsidR="00A80104" w:rsidRPr="00A80104" w:rsidRDefault="00A80104" w:rsidP="00A80104">
      <w:p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A80104" w:rsidRPr="00A80104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75272" w:rsidRPr="00E75272" w:rsidRDefault="00E75272" w:rsidP="00E75272">
      <w:pPr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B4B85" w:rsidRPr="00CD64BB" w:rsidRDefault="00CB4B85" w:rsidP="00CB4B85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D82E9D" w:rsidRDefault="00D82E9D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603D8B" w:rsidRDefault="00603D8B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603D8B" w:rsidRPr="004D410D" w:rsidRDefault="00603D8B" w:rsidP="004D410D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D410D" w:rsidRP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Pr="003B6383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5919A0">
      <w:pPr>
        <w:jc w:val="center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Pr="00EE4BFC" w:rsidRDefault="00EE4BFC" w:rsidP="00EE4BFC">
      <w:pPr>
        <w:rPr>
          <w:rFonts w:ascii="Times New Roman" w:hAnsi="Times New Roman" w:cs="Times New Roman"/>
          <w:sz w:val="28"/>
          <w:szCs w:val="28"/>
        </w:rPr>
      </w:pPr>
    </w:p>
    <w:sectPr w:rsidR="00EE4BFC" w:rsidRPr="00EE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0CE"/>
    <w:multiLevelType w:val="hybridMultilevel"/>
    <w:tmpl w:val="7F7E6EFC"/>
    <w:lvl w:ilvl="0" w:tplc="3342F8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F23D5"/>
    <w:multiLevelType w:val="hybridMultilevel"/>
    <w:tmpl w:val="7F7E6EFC"/>
    <w:lvl w:ilvl="0" w:tplc="3342F8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FC"/>
    <w:rsid w:val="00023A87"/>
    <w:rsid w:val="003B6383"/>
    <w:rsid w:val="00494690"/>
    <w:rsid w:val="004D410D"/>
    <w:rsid w:val="005919A0"/>
    <w:rsid w:val="005C26C3"/>
    <w:rsid w:val="00603D8B"/>
    <w:rsid w:val="00732E8D"/>
    <w:rsid w:val="007818C5"/>
    <w:rsid w:val="008C155E"/>
    <w:rsid w:val="009B36DE"/>
    <w:rsid w:val="009E1D6A"/>
    <w:rsid w:val="00A719BE"/>
    <w:rsid w:val="00A80104"/>
    <w:rsid w:val="00B96A42"/>
    <w:rsid w:val="00B97A2B"/>
    <w:rsid w:val="00BC7CCE"/>
    <w:rsid w:val="00BD11B4"/>
    <w:rsid w:val="00C70CE3"/>
    <w:rsid w:val="00C975CB"/>
    <w:rsid w:val="00CB4B85"/>
    <w:rsid w:val="00CD64BB"/>
    <w:rsid w:val="00D82E9D"/>
    <w:rsid w:val="00E73FA3"/>
    <w:rsid w:val="00E75272"/>
    <w:rsid w:val="00EE4BFC"/>
    <w:rsid w:val="00EF303F"/>
    <w:rsid w:val="00F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AD98"/>
  <w15:chartTrackingRefBased/>
  <w15:docId w15:val="{7B8B0F46-0D59-47B5-95F4-E3D42D1A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0D"/>
    <w:pPr>
      <w:ind w:left="720"/>
      <w:contextualSpacing/>
    </w:pPr>
  </w:style>
  <w:style w:type="character" w:customStyle="1" w:styleId="text-success">
    <w:name w:val="text-success"/>
    <w:basedOn w:val="DefaultParagraphFont"/>
    <w:rsid w:val="00BC7CCE"/>
  </w:style>
  <w:style w:type="character" w:customStyle="1" w:styleId="text-primary">
    <w:name w:val="text-primary"/>
    <w:basedOn w:val="DefaultParagraphFont"/>
    <w:rsid w:val="00BC7CCE"/>
  </w:style>
  <w:style w:type="character" w:styleId="Hyperlink">
    <w:name w:val="Hyperlink"/>
    <w:basedOn w:val="DefaultParagraphFont"/>
    <w:uiPriority w:val="99"/>
    <w:semiHidden/>
    <w:unhideWhenUsed/>
    <w:rsid w:val="00BC7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psten.etherscan.io/tx/0x358db3ac768b815b3e0220fadd14d7f69c12d025902a41a27dac8375c9348dcf" TargetMode="External"/><Relationship Id="rId5" Type="http://schemas.openxmlformats.org/officeDocument/2006/relationships/hyperlink" Target="https://ropsten.etherscan.io/address/0x588fc28802f009ff3cbedfb660c05aaf6d3f4ac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2022-06-21T13:38:00Z</dcterms:created>
  <dcterms:modified xsi:type="dcterms:W3CDTF">2022-06-21T18:14:00Z</dcterms:modified>
</cp:coreProperties>
</file>