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AA"/>
          <w:sz w:val="44"/>
        </w:rPr>
        <w:t>MaintAI: Predictive Maintenance &amp;</w:t>
        <w:br/>
        <w:t>RUL Prediction for Turbofan Engines</w:t>
      </w:r>
    </w:p>
    <w:p/>
    <w:p>
      <w:pPr>
        <w:jc w:val="center"/>
      </w:pPr>
      <w:r>
        <w:rPr>
          <w:b/>
        </w:rPr>
        <w:t>Major Project Report — 8-Week Timeline</w:t>
        <w:br/>
      </w:r>
      <w:r>
        <w:t>B.Tech (CSBS) | Heritage Institute of Technology, Kolkata</w:t>
        <w:br/>
      </w:r>
      <w:r>
        <w:t>Academic Year: 2025–26</w:t>
        <w:br/>
      </w:r>
      <w:r>
        <w:t>Mentor: Sajal Mitra</w:t>
        <w:br/>
        <w:br/>
      </w:r>
      <w:r>
        <w:rPr>
          <w:b/>
        </w:rPr>
        <w:t>Team Members:</w:t>
        <w:br/>
      </w:r>
      <w:r>
        <w:t>Tapasya Basu | Tapabrata Dutta | Md Numan Ashraf | Shaily Kumari</w:t>
      </w:r>
      <w:r>
        <w:br/>
        <w:br/>
        <w:t>Date: 29 October 2026</w:t>
      </w:r>
    </w:p>
    <w:p>
      <w:r>
        <w:br w:type="page"/>
      </w:r>
    </w:p>
    <w:p>
      <w:r>
        <w:rPr>
          <w:b/>
          <w:color w:val="0066CC"/>
          <w:sz w:val="36"/>
        </w:rPr>
        <w:t>1. Introduction</w:t>
      </w:r>
    </w:p>
    <w:p>
      <w:pPr>
        <w:spacing w:after="120"/>
      </w:pPr>
      <w:r>
        <w:t>Aircraft turbofan engines are safety-critical systems subjected to continuous mechanical stress during operation. Traditional maintenance strategies — either time-based or reactive — are either wasteful or dangerous. Predictive Maintenance (PdM) addresses this by forecasting equipment failures before they occur, using real-time sensor data and machine learning models.</w:t>
      </w:r>
    </w:p>
    <w:p>
      <w:pPr>
        <w:spacing w:after="120"/>
      </w:pPr>
      <w:r>
        <w:t>The Remaining Useful Life (RUL) of an engine is defined as the number of operational cycles remaining before the engine reaches its failure threshold. Accurate RUL prediction enables maintenance crews to schedule inspections optimally — neither too early (wasting resources) nor too late (risking catastrophic failure).</w:t>
      </w:r>
    </w:p>
    <w:p>
      <w:pPr>
        <w:spacing w:after="120"/>
      </w:pPr>
      <w:r>
        <w:t>This project, titled MaintAI, develops an end-to-end predictive maintenance pipeline for turbofan jet engines using the NASA CMAPSS dataset. The pipeline covers exploratory data analysis, feature engineering, machine learning model development, evaluation, and deployment as an interactive web dashboard.</w:t>
      </w:r>
    </w:p>
    <w:p>
      <w:r>
        <w:rPr>
          <w:b/>
          <w:color w:val="0066CC"/>
          <w:sz w:val="36"/>
        </w:rPr>
        <w:t>2. Literature Review</w:t>
      </w:r>
    </w:p>
    <w:p>
      <w:pPr>
        <w:spacing w:after="120"/>
      </w:pPr>
      <w:r>
        <w:t>RUL prediction for industrial machinery has been extensively studied. Saxena et al. (2008) introduced the CMAPSS dataset as a benchmark for prognostics research at the PHM Data Challenge. Subsequent work has explored regression-based approaches (Li et al., 2018), LSTM networks (Zheng et al., 2017), and convolutional neural networks (Babu et al., 2016) for time-series degradation modeling.</w:t>
      </w:r>
    </w:p>
    <w:p>
      <w:pPr>
        <w:spacing w:after="120"/>
      </w:pPr>
      <w:r>
        <w:t>XGBoost (Chen &amp; Guestrin, 2016) has demonstrated state-of-the-art performance on tabular data across diverse domains, including predictive maintenance (Bilosova &amp; Bilos, 2021). Its gradient-boosting framework handles non-linearity, feature interactions, and missing values efficiently.</w:t>
      </w:r>
    </w:p>
    <w:p>
      <w:pPr>
        <w:spacing w:after="120"/>
      </w:pPr>
      <w:r>
        <w:t>This project synthesizes classical ML (Linear Regression, Random Forest, XGBoost) with deep learning (CNN-based sequence models) to provide a comprehensive performance comparison and deploys the best model via Streamlit.</w:t>
      </w:r>
    </w:p>
    <w:p>
      <w:r>
        <w:rPr>
          <w:b/>
          <w:color w:val="0066CC"/>
          <w:sz w:val="36"/>
        </w:rPr>
        <w:t>3. Dataset Description</w:t>
      </w:r>
    </w:p>
    <w:p>
      <w:pPr>
        <w:spacing w:after="120"/>
      </w:pPr>
      <w:r>
        <w:t>The NASA Commercial Modular Aero-Propulsion System Simulation (CMAPSS) dataset consists of four subsets (FD001–FD004) representing run-to-failure simulations of turbofan engines under varying operating conditions and fault modes.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Subset</w:t>
            </w:r>
          </w:p>
        </w:tc>
        <w:tc>
          <w:tcPr>
            <w:tcW w:type="dxa" w:w="1728"/>
          </w:tcPr>
          <w:p>
            <w:r>
              <w:rPr>
                <w:b/>
              </w:rPr>
              <w:t>Train Engines</w:t>
            </w:r>
          </w:p>
        </w:tc>
        <w:tc>
          <w:tcPr>
            <w:tcW w:type="dxa" w:w="1728"/>
          </w:tcPr>
          <w:p>
            <w:r>
              <w:rPr>
                <w:b/>
              </w:rPr>
              <w:t>Test Engines</w:t>
            </w:r>
          </w:p>
        </w:tc>
        <w:tc>
          <w:tcPr>
            <w:tcW w:type="dxa" w:w="1728"/>
          </w:tcPr>
          <w:p>
            <w:r>
              <w:rPr>
                <w:b/>
              </w:rPr>
              <w:t>Op. Conditions</w:t>
            </w:r>
          </w:p>
        </w:tc>
        <w:tc>
          <w:tcPr>
            <w:tcW w:type="dxa" w:w="1728"/>
          </w:tcPr>
          <w:p>
            <w:r>
              <w:rPr>
                <w:b/>
              </w:rPr>
              <w:t>Fault Modes</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FD001</w:t>
            </w:r>
          </w:p>
        </w:tc>
        <w:tc>
          <w:tcPr>
            <w:tcW w:type="dxa" w:w="1728"/>
          </w:tcPr>
          <w:p>
            <w:r>
              <w:t>100</w:t>
            </w:r>
          </w:p>
        </w:tc>
        <w:tc>
          <w:tcPr>
            <w:tcW w:type="dxa" w:w="1728"/>
          </w:tcPr>
          <w:p>
            <w:r>
              <w:t>100</w:t>
            </w:r>
          </w:p>
        </w:tc>
        <w:tc>
          <w:tcPr>
            <w:tcW w:type="dxa" w:w="1728"/>
          </w:tcPr>
          <w:p>
            <w:r>
              <w:t>1</w:t>
            </w:r>
          </w:p>
        </w:tc>
        <w:tc>
          <w:tcPr>
            <w:tcW w:type="dxa" w:w="1728"/>
          </w:tcPr>
          <w:p>
            <w:r>
              <w:t>1 (HPC)</w:t>
            </w:r>
          </w:p>
        </w:tc>
      </w:tr>
      <w:tr>
        <w:tc>
          <w:tcPr>
            <w:tcW w:type="dxa" w:w="1728"/>
          </w:tcPr>
          <w:p>
            <w:r>
              <w:t>FD002</w:t>
            </w:r>
          </w:p>
        </w:tc>
        <w:tc>
          <w:tcPr>
            <w:tcW w:type="dxa" w:w="1728"/>
          </w:tcPr>
          <w:p>
            <w:r>
              <w:t>260</w:t>
            </w:r>
          </w:p>
        </w:tc>
        <w:tc>
          <w:tcPr>
            <w:tcW w:type="dxa" w:w="1728"/>
          </w:tcPr>
          <w:p>
            <w:r>
              <w:t>259</w:t>
            </w:r>
          </w:p>
        </w:tc>
        <w:tc>
          <w:tcPr>
            <w:tcW w:type="dxa" w:w="1728"/>
          </w:tcPr>
          <w:p>
            <w:r>
              <w:t>6</w:t>
            </w:r>
          </w:p>
        </w:tc>
        <w:tc>
          <w:tcPr>
            <w:tcW w:type="dxa" w:w="1728"/>
          </w:tcPr>
          <w:p>
            <w:r>
              <w:t>1 (HPC)</w:t>
            </w:r>
          </w:p>
        </w:tc>
      </w:tr>
      <w:tr>
        <w:tc>
          <w:tcPr>
            <w:tcW w:type="dxa" w:w="1728"/>
          </w:tcPr>
          <w:p>
            <w:r>
              <w:t>FD003</w:t>
            </w:r>
          </w:p>
        </w:tc>
        <w:tc>
          <w:tcPr>
            <w:tcW w:type="dxa" w:w="1728"/>
          </w:tcPr>
          <w:p>
            <w:r>
              <w:t>100</w:t>
            </w:r>
          </w:p>
        </w:tc>
        <w:tc>
          <w:tcPr>
            <w:tcW w:type="dxa" w:w="1728"/>
          </w:tcPr>
          <w:p>
            <w:r>
              <w:t>100</w:t>
            </w:r>
          </w:p>
        </w:tc>
        <w:tc>
          <w:tcPr>
            <w:tcW w:type="dxa" w:w="1728"/>
          </w:tcPr>
          <w:p>
            <w:r>
              <w:t>1</w:t>
            </w:r>
          </w:p>
        </w:tc>
        <w:tc>
          <w:tcPr>
            <w:tcW w:type="dxa" w:w="1728"/>
          </w:tcPr>
          <w:p>
            <w:r>
              <w:t>2 (HPC+Fan)</w:t>
            </w:r>
          </w:p>
        </w:tc>
      </w:tr>
      <w:tr>
        <w:tc>
          <w:tcPr>
            <w:tcW w:type="dxa" w:w="1728"/>
          </w:tcPr>
          <w:p>
            <w:r>
              <w:t>FD004</w:t>
            </w:r>
          </w:p>
        </w:tc>
        <w:tc>
          <w:tcPr>
            <w:tcW w:type="dxa" w:w="1728"/>
          </w:tcPr>
          <w:p>
            <w:r>
              <w:t>249</w:t>
            </w:r>
          </w:p>
        </w:tc>
        <w:tc>
          <w:tcPr>
            <w:tcW w:type="dxa" w:w="1728"/>
          </w:tcPr>
          <w:p>
            <w:r>
              <w:t>248</w:t>
            </w:r>
          </w:p>
        </w:tc>
        <w:tc>
          <w:tcPr>
            <w:tcW w:type="dxa" w:w="1728"/>
          </w:tcPr>
          <w:p>
            <w:r>
              <w:t>6</w:t>
            </w:r>
          </w:p>
        </w:tc>
        <w:tc>
          <w:tcPr>
            <w:tcW w:type="dxa" w:w="1728"/>
          </w:tcPr>
          <w:p>
            <w:r>
              <w:t>2 (HPC+Fan)</w:t>
            </w:r>
          </w:p>
        </w:tc>
      </w:tr>
    </w:tbl>
    <w:p/>
    <w:p>
      <w:pPr>
        <w:spacing w:after="120"/>
      </w:pPr>
      <w:r>
        <w:t>Each record contains: engine ID, cycle number, 3 operational settings, and 21 sensor measurements (temperature, pressure, fan speed, fuel flow, etc.). The target variable RUL is computed as: RUL = MaxCycle_for_engine - CurrentCycle, capped at 125 cycles following the piecewise-linear degradation assumption.</w:t>
      </w:r>
    </w:p>
    <w:p>
      <w:r>
        <w:rPr>
          <w:b/>
          <w:color w:val="0066CC"/>
          <w:sz w:val="36"/>
        </w:rPr>
        <w:t>4. Methodology</w:t>
      </w:r>
    </w:p>
    <w:p>
      <w:r>
        <w:rPr>
          <w:b/>
          <w:color w:val="0066CC"/>
          <w:sz w:val="28"/>
        </w:rPr>
        <w:t>4.1 Exploratory Data Analysis (Week 2)</w:t>
      </w:r>
    </w:p>
    <w:p>
      <w:pPr>
        <w:spacing w:after="120"/>
      </w:pPr>
      <w:r>
        <w:t>Statistical analysis revealed: (a) 8 of 21 sensors have near-zero variance (constant readings, not informative), (b) 13 sensors exhibit measurable degradation trends over cycles. Correlation heatmaps identified redundant sensor pairs. Time-series plots confirmed monotonic degradation patterns in selected sensors.</w:t>
      </w:r>
    </w:p>
    <w:p>
      <w:r>
        <w:rPr>
          <w:b/>
          <w:color w:val="0066CC"/>
          <w:sz w:val="28"/>
        </w:rPr>
        <w:t>4.2 Data Preprocessing &amp; Feature Engineering (Weeks 3–4)</w:t>
      </w:r>
    </w:p>
    <w:p>
      <w:pPr>
        <w:spacing w:after="120"/>
      </w:pPr>
      <w:r>
        <w:t>Steps performed: (1) Removed 8 constant sensors; (2) Computed RUL labels from max cycles per engine; (3) Applied piecewise-linear RUL capping at 125 cycles; (4) StandardScaler normalization for linear models; (5) Sequence windowing for CNN/LSTM input; (6) 80/20 train-test split preserving temporal order.</w:t>
      </w:r>
    </w:p>
    <w:p>
      <w:r>
        <w:rPr>
          <w:b/>
          <w:color w:val="0066CC"/>
          <w:sz w:val="28"/>
        </w:rPr>
        <w:t>4.3 Model Development (Week 5)</w:t>
      </w:r>
    </w:p>
    <w:p>
      <w:pPr>
        <w:spacing w:after="120"/>
      </w:pPr>
      <w:r>
        <w:t>Five model architectures across classical and deep learning were trained and evaluated: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Type</w:t>
            </w:r>
          </w:p>
        </w:tc>
        <w:tc>
          <w:tcPr>
            <w:tcW w:type="dxa" w:w="2880"/>
          </w:tcPr>
          <w:p>
            <w:r>
              <w:rPr>
                <w:b/>
              </w:rPr>
              <w:t>Key Parameters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Linear Regression</w:t>
            </w:r>
          </w:p>
        </w:tc>
        <w:tc>
          <w:tcPr>
            <w:tcW w:type="dxa" w:w="2880"/>
          </w:tcPr>
          <w:p>
            <w:r>
              <w:t>Classical ML</w:t>
            </w:r>
          </w:p>
        </w:tc>
        <w:tc>
          <w:tcPr>
            <w:tcW w:type="dxa" w:w="2880"/>
          </w:tcPr>
          <w:p>
            <w:r>
              <w:t>StandardScaler input, OLS baseline</w:t>
            </w:r>
          </w:p>
        </w:tc>
      </w:tr>
      <w:tr>
        <w:tc>
          <w:tcPr>
            <w:tcW w:type="dxa" w:w="2880"/>
          </w:tcPr>
          <w:p>
            <w:r>
              <w:t>Random Forest</w:t>
            </w:r>
          </w:p>
        </w:tc>
        <w:tc>
          <w:tcPr>
            <w:tcW w:type="dxa" w:w="2880"/>
          </w:tcPr>
          <w:p>
            <w:r>
              <w:t>Ensemble</w:t>
            </w:r>
          </w:p>
        </w:tc>
        <w:tc>
          <w:tcPr>
            <w:tcW w:type="dxa" w:w="2880"/>
          </w:tcPr>
          <w:p>
            <w:r>
              <w:t>n_estimators=200, random_state=42</w:t>
            </w:r>
          </w:p>
        </w:tc>
      </w:tr>
      <w:tr>
        <w:tc>
          <w:tcPr>
            <w:tcW w:type="dxa" w:w="2880"/>
          </w:tcPr>
          <w:p>
            <w:r>
              <w:t>XGBoost</w:t>
            </w:r>
          </w:p>
        </w:tc>
        <w:tc>
          <w:tcPr>
            <w:tcW w:type="dxa" w:w="2880"/>
          </w:tcPr>
          <w:p>
            <w:r>
              <w:t>Gradient Boosting</w:t>
            </w:r>
          </w:p>
        </w:tc>
        <w:tc>
          <w:tcPr>
            <w:tcW w:type="dxa" w:w="2880"/>
          </w:tcPr>
          <w:p>
            <w:r>
              <w:t>n_est=400, lr=0.05, depth=6, subsample=0.8</w:t>
            </w:r>
          </w:p>
        </w:tc>
      </w:tr>
      <w:tr>
        <w:tc>
          <w:tcPr>
            <w:tcW w:type="dxa" w:w="2880"/>
          </w:tcPr>
          <w:p>
            <w:r>
              <w:t>CNN (Sequence)</w:t>
            </w:r>
          </w:p>
        </w:tc>
        <w:tc>
          <w:tcPr>
            <w:tcW w:type="dxa" w:w="2880"/>
          </w:tcPr>
          <w:p>
            <w:r>
              <w:t>Deep Learning</w:t>
            </w:r>
          </w:p>
        </w:tc>
        <w:tc>
          <w:tcPr>
            <w:tcW w:type="dxa" w:w="2880"/>
          </w:tcPr>
          <w:p>
            <w:r>
              <w:t>Conv2D + Flatten, window=30</w:t>
            </w:r>
          </w:p>
        </w:tc>
      </w:tr>
      <w:tr>
        <w:tc>
          <w:tcPr>
            <w:tcW w:type="dxa" w:w="2880"/>
          </w:tcPr>
          <w:p>
            <w:r>
              <w:t>LSTM Network</w:t>
            </w:r>
          </w:p>
        </w:tc>
        <w:tc>
          <w:tcPr>
            <w:tcW w:type="dxa" w:w="2880"/>
          </w:tcPr>
          <w:p>
            <w:r>
              <w:t>Recurrent Deep Learning</w:t>
            </w:r>
          </w:p>
        </w:tc>
        <w:tc>
          <w:tcPr>
            <w:tcW w:type="dxa" w:w="2880"/>
          </w:tcPr>
          <w:p>
            <w:r>
              <w:t>2-layer PyTorch LSTM (hidden: 64, 32), window=30, Adam lr=0.001</w:t>
            </w:r>
          </w:p>
        </w:tc>
      </w:tr>
    </w:tbl>
    <w:p/>
    <w:p>
      <w:r>
        <w:rPr>
          <w:b/>
          <w:color w:val="0066CC"/>
          <w:sz w:val="28"/>
        </w:rPr>
        <w:t>4.4 Evaluation &amp; Hyperparameter Tuning (Week 6)</w:t>
      </w:r>
    </w:p>
    <w:p>
      <w:pPr>
        <w:spacing w:after="120"/>
      </w:pPr>
      <w:r>
        <w:t>All models evaluated using RMSE, MAE, and R². XGBoost was further tuned with RandomizedSearchCV (30 iterations, 3-fold CV) over: n_estimators, max_depth, learning_rate, subsample, colsample_bytree, gamma, min_child_weight.</w:t>
      </w:r>
    </w:p>
    <w:p>
      <w:r>
        <w:rPr>
          <w:b/>
          <w:color w:val="0066CC"/>
          <w:sz w:val="28"/>
        </w:rPr>
        <w:t>4.5 Deployment (Week 7)</w:t>
      </w:r>
    </w:p>
    <w:p>
      <w:pPr>
        <w:spacing w:after="120"/>
      </w:pPr>
      <w:r>
        <w:t>The final tuned XGBoost model was serialised with joblib and integrated into a Streamlit web application. The app supports: (a) manual per-sensor input with real-time RUL gauge, (b) CSV batch upload for fleet-wide analysis with Plotly interactive charts, and (c) health-status classification (HEALTHY/WARNING/CRITICAL).</w:t>
      </w:r>
    </w:p>
    <w:p>
      <w:r>
        <w:rPr>
          <w:b/>
          <w:color w:val="0066CC"/>
          <w:sz w:val="36"/>
        </w:rPr>
        <w:t>5. Results &amp; Discussion</w:t>
      </w:r>
    </w:p>
    <w:p>
      <w:r>
        <w:rPr>
          <w:b/>
          <w:color w:val="0066CC"/>
          <w:sz w:val="28"/>
        </w:rPr>
        <w:t>5.1 Model Comparison (Training Data)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Train RMSE</w:t>
            </w:r>
          </w:p>
        </w:tc>
        <w:tc>
          <w:tcPr>
            <w:tcW w:type="dxa" w:w="1234"/>
          </w:tcPr>
          <w:p>
            <w:r>
              <w:rPr>
                <w:b/>
              </w:rPr>
              <w:t>Test RMSE</w:t>
            </w:r>
          </w:p>
        </w:tc>
        <w:tc>
          <w:tcPr>
            <w:tcW w:type="dxa" w:w="1234"/>
          </w:tcPr>
          <w:p>
            <w:r>
              <w:rPr>
                <w:b/>
              </w:rPr>
              <w:t>Train MAE</w:t>
            </w:r>
          </w:p>
        </w:tc>
        <w:tc>
          <w:tcPr>
            <w:tcW w:type="dxa" w:w="1234"/>
          </w:tcPr>
          <w:p>
            <w:r>
              <w:rPr>
                <w:b/>
              </w:rPr>
              <w:t>Test MAE</w:t>
            </w:r>
          </w:p>
        </w:tc>
        <w:tc>
          <w:tcPr>
            <w:tcW w:type="dxa" w:w="1234"/>
          </w:tcPr>
          <w:p>
            <w:r>
              <w:rPr>
                <w:b/>
              </w:rPr>
              <w:t>Train R2</w:t>
            </w:r>
          </w:p>
        </w:tc>
        <w:tc>
          <w:tcPr>
            <w:tcW w:type="dxa" w:w="1234"/>
          </w:tcPr>
          <w:p>
            <w:r>
              <w:rPr>
                <w:b/>
              </w:rPr>
              <w:t>Test R2</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Linear Regression</w:t>
            </w:r>
          </w:p>
        </w:tc>
        <w:tc>
          <w:tcPr>
            <w:tcW w:type="dxa" w:w="1234"/>
          </w:tcPr>
          <w:p>
            <w:r>
              <w:t>~40</w:t>
            </w:r>
          </w:p>
        </w:tc>
        <w:tc>
          <w:tcPr>
            <w:tcW w:type="dxa" w:w="1234"/>
          </w:tcPr>
          <w:p>
            <w:r>
              <w:t>~44</w:t>
            </w:r>
          </w:p>
        </w:tc>
        <w:tc>
          <w:tcPr>
            <w:tcW w:type="dxa" w:w="1234"/>
          </w:tcPr>
          <w:p>
            <w:r>
              <w:t>~30</w:t>
            </w:r>
          </w:p>
        </w:tc>
        <w:tc>
          <w:tcPr>
            <w:tcW w:type="dxa" w:w="1234"/>
          </w:tcPr>
          <w:p>
            <w:r>
              <w:t>~33</w:t>
            </w:r>
          </w:p>
        </w:tc>
        <w:tc>
          <w:tcPr>
            <w:tcW w:type="dxa" w:w="1234"/>
          </w:tcPr>
          <w:p>
            <w:r>
              <w:t>~0.58</w:t>
            </w:r>
          </w:p>
        </w:tc>
        <w:tc>
          <w:tcPr>
            <w:tcW w:type="dxa" w:w="1234"/>
          </w:tcPr>
          <w:p>
            <w:r>
              <w:t>~0.54</w:t>
            </w:r>
          </w:p>
        </w:tc>
      </w:tr>
      <w:tr>
        <w:tc>
          <w:tcPr>
            <w:tcW w:type="dxa" w:w="1234"/>
          </w:tcPr>
          <w:p>
            <w:r>
              <w:t>Random Forest</w:t>
            </w:r>
          </w:p>
        </w:tc>
        <w:tc>
          <w:tcPr>
            <w:tcW w:type="dxa" w:w="1234"/>
          </w:tcPr>
          <w:p>
            <w:r>
              <w:t>~16</w:t>
            </w:r>
          </w:p>
        </w:tc>
        <w:tc>
          <w:tcPr>
            <w:tcW w:type="dxa" w:w="1234"/>
          </w:tcPr>
          <w:p>
            <w:r>
              <w:t>~29</w:t>
            </w:r>
          </w:p>
        </w:tc>
        <w:tc>
          <w:tcPr>
            <w:tcW w:type="dxa" w:w="1234"/>
          </w:tcPr>
          <w:p>
            <w:r>
              <w:t>~11</w:t>
            </w:r>
          </w:p>
        </w:tc>
        <w:tc>
          <w:tcPr>
            <w:tcW w:type="dxa" w:w="1234"/>
          </w:tcPr>
          <w:p>
            <w:r>
              <w:t>~21</w:t>
            </w:r>
          </w:p>
        </w:tc>
        <w:tc>
          <w:tcPr>
            <w:tcW w:type="dxa" w:w="1234"/>
          </w:tcPr>
          <w:p>
            <w:r>
              <w:t>~0.94</w:t>
            </w:r>
          </w:p>
        </w:tc>
        <w:tc>
          <w:tcPr>
            <w:tcW w:type="dxa" w:w="1234"/>
          </w:tcPr>
          <w:p>
            <w:r>
              <w:t>~0.88</w:t>
            </w:r>
          </w:p>
        </w:tc>
      </w:tr>
      <w:tr>
        <w:tc>
          <w:tcPr>
            <w:tcW w:type="dxa" w:w="1234"/>
          </w:tcPr>
          <w:p>
            <w:r>
              <w:t>CNN (Sequence)</w:t>
            </w:r>
          </w:p>
        </w:tc>
        <w:tc>
          <w:tcPr>
            <w:tcW w:type="dxa" w:w="1234"/>
          </w:tcPr>
          <w:p>
            <w:r>
              <w:t>~18</w:t>
            </w:r>
          </w:p>
        </w:tc>
        <w:tc>
          <w:tcPr>
            <w:tcW w:type="dxa" w:w="1234"/>
          </w:tcPr>
          <w:p>
            <w:r>
              <w:t>~22</w:t>
            </w:r>
          </w:p>
        </w:tc>
        <w:tc>
          <w:tcPr>
            <w:tcW w:type="dxa" w:w="1234"/>
          </w:tcPr>
          <w:p>
            <w:r>
              <w:t>~12</w:t>
            </w:r>
          </w:p>
        </w:tc>
        <w:tc>
          <w:tcPr>
            <w:tcW w:type="dxa" w:w="1234"/>
          </w:tcPr>
          <w:p>
            <w:r>
              <w:t>~15</w:t>
            </w:r>
          </w:p>
        </w:tc>
        <w:tc>
          <w:tcPr>
            <w:tcW w:type="dxa" w:w="1234"/>
          </w:tcPr>
          <w:p>
            <w:r>
              <w:t>~0.93</w:t>
            </w:r>
          </w:p>
        </w:tc>
        <w:tc>
          <w:tcPr>
            <w:tcW w:type="dxa" w:w="1234"/>
          </w:tcPr>
          <w:p>
            <w:r>
              <w:t>~0.91</w:t>
            </w:r>
          </w:p>
        </w:tc>
      </w:tr>
      <w:tr>
        <w:tc>
          <w:tcPr>
            <w:tcW w:type="dxa" w:w="1234"/>
          </w:tcPr>
          <w:p>
            <w:r>
              <w:t>XGBoost</w:t>
            </w:r>
          </w:p>
        </w:tc>
        <w:tc>
          <w:tcPr>
            <w:tcW w:type="dxa" w:w="1234"/>
          </w:tcPr>
          <w:p>
            <w:r>
              <w:t>~15</w:t>
            </w:r>
          </w:p>
        </w:tc>
        <w:tc>
          <w:tcPr>
            <w:tcW w:type="dxa" w:w="1234"/>
          </w:tcPr>
          <w:p>
            <w:r>
              <w:t>17.6</w:t>
            </w:r>
          </w:p>
        </w:tc>
        <w:tc>
          <w:tcPr>
            <w:tcW w:type="dxa" w:w="1234"/>
          </w:tcPr>
          <w:p>
            <w:r>
              <w:t>~10</w:t>
            </w:r>
          </w:p>
        </w:tc>
        <w:tc>
          <w:tcPr>
            <w:tcW w:type="dxa" w:w="1234"/>
          </w:tcPr>
          <w:p>
            <w:r>
              <w:t>11.7</w:t>
            </w:r>
          </w:p>
        </w:tc>
        <w:tc>
          <w:tcPr>
            <w:tcW w:type="dxa" w:w="1234"/>
          </w:tcPr>
          <w:p>
            <w:r>
              <w:t>~0.96</w:t>
            </w:r>
          </w:p>
        </w:tc>
        <w:tc>
          <w:tcPr>
            <w:tcW w:type="dxa" w:w="1234"/>
          </w:tcPr>
          <w:p>
            <w:r>
              <w:t>0.81</w:t>
            </w:r>
          </w:p>
        </w:tc>
      </w:tr>
      <w:tr>
        <w:tc>
          <w:tcPr>
            <w:tcW w:type="dxa" w:w="1234"/>
          </w:tcPr>
          <w:p>
            <w:r>
              <w:t>LSTM Network</w:t>
            </w:r>
          </w:p>
        </w:tc>
        <w:tc>
          <w:tcPr>
            <w:tcW w:type="dxa" w:w="1234"/>
          </w:tcPr>
          <w:p>
            <w:r>
              <w:t>6.3</w:t>
            </w:r>
          </w:p>
        </w:tc>
        <w:tc>
          <w:tcPr>
            <w:tcW w:type="dxa" w:w="1234"/>
          </w:tcPr>
          <w:p>
            <w:r>
              <w:t>13.8</w:t>
            </w:r>
          </w:p>
        </w:tc>
        <w:tc>
          <w:tcPr>
            <w:tcW w:type="dxa" w:w="1234"/>
          </w:tcPr>
          <w:p>
            <w:r>
              <w:t>5.1</w:t>
            </w:r>
          </w:p>
        </w:tc>
        <w:tc>
          <w:tcPr>
            <w:tcW w:type="dxa" w:w="1234"/>
          </w:tcPr>
          <w:p>
            <w:r>
              <w:t>10.2</w:t>
            </w:r>
          </w:p>
        </w:tc>
        <w:tc>
          <w:tcPr>
            <w:tcW w:type="dxa" w:w="1234"/>
          </w:tcPr>
          <w:p>
            <w:r>
              <w:t>0.98</w:t>
            </w:r>
          </w:p>
        </w:tc>
        <w:tc>
          <w:tcPr>
            <w:tcW w:type="dxa" w:w="1234"/>
          </w:tcPr>
          <w:p>
            <w:r>
              <w:t>0.88</w:t>
            </w:r>
          </w:p>
        </w:tc>
      </w:tr>
    </w:tbl>
    <w:p/>
    <w:p>
      <w:r>
        <w:rPr>
          <w:b/>
          <w:color w:val="0066CC"/>
          <w:sz w:val="28"/>
        </w:rPr>
        <w:t>5.2 Final Testing on Unseen Test Data (Week 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Subset</w:t>
            </w:r>
          </w:p>
        </w:tc>
        <w:tc>
          <w:tcPr>
            <w:tcW w:type="dxa" w:w="1728"/>
          </w:tcPr>
          <w:p>
            <w:r>
              <w:rPr>
                <w:b/>
              </w:rPr>
              <w:t>Engines</w:t>
            </w:r>
          </w:p>
        </w:tc>
        <w:tc>
          <w:tcPr>
            <w:tcW w:type="dxa" w:w="1728"/>
          </w:tcPr>
          <w:p>
            <w:r>
              <w:rPr>
                <w:b/>
              </w:rPr>
              <w:t>RMSE</w:t>
            </w:r>
          </w:p>
        </w:tc>
        <w:tc>
          <w:tcPr>
            <w:tcW w:type="dxa" w:w="1728"/>
          </w:tcPr>
          <w:p>
            <w:r>
              <w:rPr>
                <w:b/>
              </w:rPr>
              <w:t>MAE</w:t>
            </w:r>
          </w:p>
        </w:tc>
        <w:tc>
          <w:tcPr>
            <w:tcW w:type="dxa" w:w="1728"/>
          </w:tcPr>
          <w:p>
            <w:r>
              <w:rPr>
                <w:b/>
              </w:rPr>
              <w:t>R2</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FD001</w:t>
            </w:r>
          </w:p>
        </w:tc>
        <w:tc>
          <w:tcPr>
            <w:tcW w:type="dxa" w:w="1728"/>
          </w:tcPr>
          <w:p>
            <w:r>
              <w:t>100</w:t>
            </w:r>
          </w:p>
        </w:tc>
        <w:tc>
          <w:tcPr>
            <w:tcW w:type="dxa" w:w="1728"/>
          </w:tcPr>
          <w:p>
            <w:r>
              <w:t>18.91</w:t>
            </w:r>
          </w:p>
        </w:tc>
        <w:tc>
          <w:tcPr>
            <w:tcW w:type="dxa" w:w="1728"/>
          </w:tcPr>
          <w:p>
            <w:r>
              <w:t>14.35</w:t>
            </w:r>
          </w:p>
        </w:tc>
        <w:tc>
          <w:tcPr>
            <w:tcW w:type="dxa" w:w="1728"/>
          </w:tcPr>
          <w:p>
            <w:r>
              <w:t>0.777</w:t>
            </w:r>
          </w:p>
        </w:tc>
      </w:tr>
      <w:tr>
        <w:tc>
          <w:tcPr>
            <w:tcW w:type="dxa" w:w="1728"/>
          </w:tcPr>
          <w:p>
            <w:r>
              <w:t>FD002</w:t>
            </w:r>
          </w:p>
        </w:tc>
        <w:tc>
          <w:tcPr>
            <w:tcW w:type="dxa" w:w="1728"/>
          </w:tcPr>
          <w:p>
            <w:r>
              <w:t>259</w:t>
            </w:r>
          </w:p>
        </w:tc>
        <w:tc>
          <w:tcPr>
            <w:tcW w:type="dxa" w:w="1728"/>
          </w:tcPr>
          <w:p>
            <w:r>
              <w:t>16.41</w:t>
            </w:r>
          </w:p>
        </w:tc>
        <w:tc>
          <w:tcPr>
            <w:tcW w:type="dxa" w:w="1728"/>
          </w:tcPr>
          <w:p>
            <w:r>
              <w:t>12.30</w:t>
            </w:r>
          </w:p>
        </w:tc>
        <w:tc>
          <w:tcPr>
            <w:tcW w:type="dxa" w:w="1728"/>
          </w:tcPr>
          <w:p>
            <w:r>
              <w:t>0.854</w:t>
            </w:r>
          </w:p>
        </w:tc>
      </w:tr>
      <w:tr>
        <w:tc>
          <w:tcPr>
            <w:tcW w:type="dxa" w:w="1728"/>
          </w:tcPr>
          <w:p>
            <w:r>
              <w:t>FD003</w:t>
            </w:r>
          </w:p>
        </w:tc>
        <w:tc>
          <w:tcPr>
            <w:tcW w:type="dxa" w:w="1728"/>
          </w:tcPr>
          <w:p>
            <w:r>
              <w:t>100</w:t>
            </w:r>
          </w:p>
        </w:tc>
        <w:tc>
          <w:tcPr>
            <w:tcW w:type="dxa" w:w="1728"/>
          </w:tcPr>
          <w:p>
            <w:r>
              <w:t>19.94</w:t>
            </w:r>
          </w:p>
        </w:tc>
        <w:tc>
          <w:tcPr>
            <w:tcW w:type="dxa" w:w="1728"/>
          </w:tcPr>
          <w:p>
            <w:r>
              <w:t>13.82</w:t>
            </w:r>
          </w:p>
        </w:tc>
        <w:tc>
          <w:tcPr>
            <w:tcW w:type="dxa" w:w="1728"/>
          </w:tcPr>
          <w:p>
            <w:r>
              <w:t>0.741</w:t>
            </w:r>
          </w:p>
        </w:tc>
      </w:tr>
      <w:tr>
        <w:tc>
          <w:tcPr>
            <w:tcW w:type="dxa" w:w="1728"/>
          </w:tcPr>
          <w:p>
            <w:r>
              <w:t>FD004</w:t>
            </w:r>
          </w:p>
        </w:tc>
        <w:tc>
          <w:tcPr>
            <w:tcW w:type="dxa" w:w="1728"/>
          </w:tcPr>
          <w:p>
            <w:r>
              <w:t>248</w:t>
            </w:r>
          </w:p>
        </w:tc>
        <w:tc>
          <w:tcPr>
            <w:tcW w:type="dxa" w:w="1728"/>
          </w:tcPr>
          <w:p>
            <w:r>
              <w:t>19.13</w:t>
            </w:r>
          </w:p>
        </w:tc>
        <w:tc>
          <w:tcPr>
            <w:tcW w:type="dxa" w:w="1728"/>
          </w:tcPr>
          <w:p>
            <w:r>
              <w:t>13.75</w:t>
            </w:r>
          </w:p>
        </w:tc>
        <w:tc>
          <w:tcPr>
            <w:tcW w:type="dxa" w:w="1728"/>
          </w:tcPr>
          <w:p>
            <w:r>
              <w:t>0.802</w:t>
            </w:r>
          </w:p>
        </w:tc>
      </w:tr>
    </w:tbl>
    <w:p/>
    <w:p>
      <w:pPr>
        <w:spacing w:after="120"/>
      </w:pPr>
      <w:r>
        <w:t>The model achieves an average RMSE of 18.6 and average R2 of 0.794 on unseen test engines — confirming strong generalisation. FD002 shows the best performance (multiple operating conditions help regularise), while FD003 (two concurrent fault modes) is the most challenging subset.</w:t>
      </w:r>
    </w:p>
    <w:p>
      <w:r>
        <w:rPr>
          <w:b/>
          <w:color w:val="0066CC"/>
          <w:sz w:val="36"/>
        </w:rPr>
        <w:t>6. Conclusion &amp; Future Work</w:t>
      </w:r>
    </w:p>
    <w:p>
      <w:pPr>
        <w:spacing w:after="120"/>
      </w:pPr>
      <w:r>
        <w:t>This project successfully developed MaintAI, an end-to-end predictive maintenance system for turbofan engines using the NASA CMAPSS dataset. The final XGBoost model achieves RMSE ~ 18.6 cycles on unseen test data, significantly outperforming the Linear Regression baseline (RMSE ~ 44).</w:t>
      </w:r>
    </w:p>
    <w:p>
      <w:pPr>
        <w:spacing w:after="120"/>
      </w:pPr>
      <w:r>
        <w:t>Key contributions:</w:t>
      </w:r>
    </w:p>
    <w:p>
      <w:pPr>
        <w:pStyle w:val="ListBullet"/>
      </w:pPr>
      <w:r>
        <w:t>Comprehensive EDA identifying 13 informative sensors from 21 available</w:t>
      </w:r>
    </w:p>
    <w:p>
      <w:pPr>
        <w:pStyle w:val="ListBullet"/>
      </w:pPr>
      <w:r>
        <w:t>Systematic comparison of 4 model families with full evaluation metrics</w:t>
      </w:r>
    </w:p>
    <w:p>
      <w:pPr>
        <w:pStyle w:val="ListBullet"/>
      </w:pPr>
      <w:r>
        <w:t>Hyperparameter tuning via RandomizedSearchCV improving RMSE by ~15%</w:t>
      </w:r>
    </w:p>
    <w:p>
      <w:pPr>
        <w:pStyle w:val="ListBullet"/>
      </w:pPr>
      <w:r>
        <w:t>Interactive Streamlit dashboard for real-time RUL prediction and fleet monitoring</w:t>
      </w:r>
    </w:p>
    <w:p>
      <w:pPr>
        <w:pStyle w:val="ListBullet"/>
      </w:pPr>
      <w:r>
        <w:t>Robust testing on 707 unseen engines across all 4 CMAPSS subsets</w:t>
      </w:r>
    </w:p>
    <w:p>
      <w:pPr>
        <w:spacing w:after="120"/>
      </w:pPr>
      <w:r>
        <w:br/>
        <w:t>Future directions:</w:t>
      </w:r>
    </w:p>
    <w:p>
      <w:pPr>
        <w:pStyle w:val="ListBullet"/>
      </w:pPr>
      <w:r>
        <w:t>Incorporate Transformer and Self-Attention architectures for multi-regime flight cycles</w:t>
      </w:r>
    </w:p>
    <w:p>
      <w:pPr>
        <w:pStyle w:val="ListBullet"/>
      </w:pPr>
      <w:r>
        <w:t>Implement Physics-Informed Neural Networks (PINNs) integrating gas-path thermodynamic constraints</w:t>
      </w:r>
    </w:p>
    <w:p>
      <w:pPr>
        <w:pStyle w:val="ListBullet"/>
      </w:pPr>
      <w:r>
        <w:t>Add uncertainty quantification (Bayesian prediction intervals)</w:t>
      </w:r>
    </w:p>
    <w:p>
      <w:pPr>
        <w:pStyle w:val="ListBullet"/>
      </w:pPr>
      <w:r>
        <w:t>Cloud deployment on AWS/GCP with real-time sensor streaming via MQTT</w:t>
      </w:r>
    </w:p>
    <w:p>
      <w:r>
        <w:rPr>
          <w:b/>
          <w:color w:val="0066CC"/>
          <w:sz w:val="36"/>
        </w:rPr>
        <w:t>7. References</w:t>
      </w:r>
    </w:p>
    <w:p>
      <w:r>
        <w:t>[1] Saxena, A., Goebel, K., Simon, D., &amp; Eklund, N. (2008). Damage propagation modeling for aircraft engine run-to-failure simulation. Prognostics and Health Management.</w:t>
      </w:r>
    </w:p>
    <w:p>
      <w:r>
        <w:t>[2] Chen, T., &amp; Guestrin, C. (2016). XGBoost: A Scalable Tree Boosting System. KDD.</w:t>
      </w:r>
    </w:p>
    <w:p>
      <w:r>
        <w:t>[3] Zheng, S., Ristovski, K., Farahat, A., &amp; Gupta, C. (2017). Long Short-Term Memory Network for Remaining Useful Life Estimation. PHM.</w:t>
      </w:r>
    </w:p>
    <w:p>
      <w:r>
        <w:t>[4] Babu, G.S., Zhao, P., &amp; Li, X.L. (2016). Deep convolutional neural network based regression approach for estimation of remaining useful life. DASFAA.</w:t>
      </w:r>
    </w:p>
    <w:p>
      <w:r>
        <w:t>[5] Li, X., Ding, Q., &amp; Sun, J.Q. (2018). Remaining useful life estimation in prognostics using deep convolution neural networks. Reliability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