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NOTA</w:t>
        <w:br w:type="textWrapping"/>
        <w:br w:type="textWrapping"/>
        <w:br w:type="textWrapping"/>
        <w:t xml:space="preserve">SURF HOUSE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ostello - affitta letto in camera condivisa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stanza - privata doppia, tripla, quadruplal o x 6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casa - exclusiva per gruppi e famiglie </w:t>
        <w:br w:type="textWrapping"/>
      </w:r>
    </w:p>
    <w:p w:rsidR="00000000" w:rsidDel="00000000" w:rsidP="00000000" w:rsidRDefault="00000000" w:rsidRPr="00000000" w14:paraId="00000005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serve fare le 3 sottocategorie ?</w:t>
        <w:br w:type="textWrapping"/>
        <w:br w:type="textWrapping"/>
        <w:t xml:space="preserve">poi ci sarebbe la 4’ :  surf camp, ritiro. </w:t>
        <w:br w:type="textWrapping"/>
        <w:t xml:space="preserve">casa a condizioni partner, per organizzatori e scuole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