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TapeOut Miner Custody and Reward Distribution Complete Test Report</w:t>
      </w:r>
    </w:p>
    <w:p>
      <w:r>
        <w:t>Report date: October 5, 2026. Network: BSC mainnet, chainId 56.</w:t>
      </w:r>
    </w:p>
    <w:p>
      <w:r>
        <w:rPr>
          <w:b/>
        </w:rPr>
        <w:t>All four rounds of mainnet reward and entitlement-transfer tests passed.</w:t>
      </w:r>
      <w:r>
        <w:t xml:space="preserve"> The tests verified independent claims, preservation of historical unclaimed rewards, equal cumulative allocation from the same received batch, and continued claiming after NFT transfer for two kinds of unclaimed rewards. Vault deployment and miner deposit succeeded. The complete mainnet flow recorded 12 successful transactions, including 7 BEM payments.</w:t>
      </w:r>
    </w:p>
    <w:p>
      <w:r>
        <w:t xml:space="preserve">This report consolidates deployment/deposit, four mainnet rounds, fixed-block authority simulations, and earlier local contract, CLI, and UI verification. Mainnet amounts use evidence through block </w:t>
      </w:r>
      <w:r>
        <w:rPr>
          <w:b/>
        </w:rPr>
        <w:t>125712665</w:t>
      </w:r>
      <w:r>
        <w:t xml:space="preserve">, corresponding to </w:t>
      </w:r>
      <w:r>
        <w:rPr>
          <w:b/>
        </w:rPr>
        <w:t>2026-10-05 01:01:09 Beijing time</w:t>
      </w:r>
      <w:r>
        <w:t>. This historical cutoff does not represent current on-chain balances.</w:t>
      </w:r>
    </w:p>
    <w:p>
      <w:r>
        <w:t xml:space="preserve">At that block, the Vault had cumulatively received and paid </w:t>
      </w:r>
      <w:r>
        <w:rPr>
          <w:b/>
        </w:rPr>
        <w:t>0.00875158 BEM</w:t>
      </w:r>
      <w:r>
        <w:t xml:space="preserve">. Successive holders A and owner of share #1 had jointly claimed </w:t>
      </w:r>
      <w:r>
        <w:rPr>
          <w:b/>
        </w:rPr>
        <w:t>0.00437579 BEM</w:t>
      </w:r>
      <w:r>
        <w:t xml:space="preserve">; B of share #2 had cumulatively claimed </w:t>
      </w:r>
      <w:r>
        <w:rPr>
          <w:b/>
        </w:rPr>
        <w:t>0.00437579 BEM</w:t>
      </w:r>
      <w:r>
        <w:t>, with zero difference. The miner remained in the Vault, state Active.</w:t>
      </w:r>
    </w:p>
    <w:p>
      <w:pPr>
        <w:pStyle w:val="Heading1"/>
      </w:pPr>
      <w:r>
        <w:t>1 Test subjects and measurement basis</w:t>
      </w:r>
    </w:p>
    <w:p>
      <w:pPr>
        <w:pStyle w:val="Heading2"/>
      </w:pPr>
      <w:r>
        <w:t>Contracts and accounts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val="1"/>
        </w:trPr>
        <w:tc>
          <w:tcPr>
            <w:tcW w:type="dxa" w:w="2448"/>
            <w:vAlign w:val="center"/>
            <w:tcMar>
              <w:top w:w="80" w:type="dxa"/>
              <w:bottom w:w="80" w:type="dxa"/>
              <w:left w:w="95" w:type="dxa"/>
              <w:right w:w="95" w:type="dxa"/>
            </w:tcMar>
            <w:shd w:fill="EDEDED"/>
          </w:tcPr>
          <w:p>
            <w:pPr>
              <w:pStyle w:val="TableBody"/>
              <w:keepNext w:val="0"/>
            </w:pPr>
            <w:r>
              <w:rPr>
                <w:b/>
              </w:rPr>
              <w:t>Subject</w:t>
            </w:r>
          </w:p>
        </w:tc>
        <w:tc>
          <w:tcPr>
            <w:tcW w:type="dxa" w:w="7776"/>
            <w:vAlign w:val="center"/>
            <w:tcMar>
              <w:top w:w="80" w:type="dxa"/>
              <w:bottom w:w="80" w:type="dxa"/>
              <w:left w:w="95" w:type="dxa"/>
              <w:right w:w="95" w:type="dxa"/>
            </w:tcMar>
            <w:shd w:fill="EDEDED"/>
          </w:tcPr>
          <w:p>
            <w:pPr>
              <w:pStyle w:val="TableBody"/>
              <w:keepNext w:val="0"/>
            </w:pPr>
            <w:r>
              <w:rPr>
                <w:b/>
              </w:rPr>
              <w:t>Address or identifier</w:t>
            </w:r>
          </w:p>
        </w:tc>
      </w:tr>
      <w:tr>
        <w:trPr>
          <w:cantSplit/>
        </w:trPr>
        <w:tc>
          <w:tcPr>
            <w:tcW w:type="dxa" w:w="2448"/>
            <w:vAlign w:val="center"/>
            <w:tcMar>
              <w:top w:w="80" w:type="dxa"/>
              <w:bottom w:w="80" w:type="dxa"/>
              <w:left w:w="95" w:type="dxa"/>
              <w:right w:w="95" w:type="dxa"/>
            </w:tcMar>
          </w:tcPr>
          <w:p>
            <w:pPr>
              <w:pStyle w:val="TableBody"/>
              <w:keepNext w:val="0"/>
            </w:pPr>
            <w:r>
              <w:t>Vault</w:t>
            </w:r>
          </w:p>
        </w:tc>
        <w:tc>
          <w:tcPr>
            <w:tcW w:type="dxa" w:w="7776"/>
            <w:vAlign w:val="center"/>
            <w:tcMar>
              <w:top w:w="80" w:type="dxa"/>
              <w:bottom w:w="80" w:type="dxa"/>
              <w:left w:w="95" w:type="dxa"/>
              <w:right w:w="95" w:type="dxa"/>
            </w:tcMar>
          </w:tcPr>
          <w:p>
            <w:pPr>
              <w:pStyle w:val="TableBody"/>
              <w:keepNext w:val="0"/>
            </w:pPr>
            <w:r>
              <w:t>0x4D42634488E9E9C30D1AbAFd4C5f47b29502E35B</w:t>
            </w:r>
          </w:p>
        </w:tc>
      </w:tr>
      <w:tr>
        <w:trPr>
          <w:cantSplit/>
        </w:trPr>
        <w:tc>
          <w:tcPr>
            <w:tcW w:type="dxa" w:w="2448"/>
            <w:vAlign w:val="center"/>
            <w:tcMar>
              <w:top w:w="80" w:type="dxa"/>
              <w:bottom w:w="80" w:type="dxa"/>
              <w:left w:w="95" w:type="dxa"/>
              <w:right w:w="95" w:type="dxa"/>
            </w:tcMar>
          </w:tcPr>
          <w:p>
            <w:pPr>
              <w:pStyle w:val="TableBody"/>
              <w:keepNext w:val="0"/>
            </w:pPr>
            <w:r>
              <w:t>Miner collection</w:t>
            </w:r>
          </w:p>
        </w:tc>
        <w:tc>
          <w:tcPr>
            <w:tcW w:type="dxa" w:w="7776"/>
            <w:vAlign w:val="center"/>
            <w:tcMar>
              <w:top w:w="80" w:type="dxa"/>
              <w:bottom w:w="80" w:type="dxa"/>
              <w:left w:w="95" w:type="dxa"/>
              <w:right w:w="95" w:type="dxa"/>
            </w:tcMar>
          </w:tcPr>
          <w:p>
            <w:pPr>
              <w:pStyle w:val="TableBody"/>
              <w:keepNext w:val="0"/>
            </w:pPr>
            <w:r>
              <w:t>0xb1024b89886B9a34Aa4ff5F31C411D708b20a14C</w:t>
            </w:r>
          </w:p>
        </w:tc>
      </w:tr>
      <w:tr>
        <w:trPr>
          <w:cantSplit/>
        </w:trPr>
        <w:tc>
          <w:tcPr>
            <w:tcW w:type="dxa" w:w="2448"/>
            <w:vAlign w:val="center"/>
            <w:tcMar>
              <w:top w:w="80" w:type="dxa"/>
              <w:bottom w:w="80" w:type="dxa"/>
              <w:left w:w="95" w:type="dxa"/>
              <w:right w:w="95" w:type="dxa"/>
            </w:tcMar>
          </w:tcPr>
          <w:p>
            <w:pPr>
              <w:pStyle w:val="TableBody"/>
              <w:keepNext w:val="0"/>
            </w:pPr>
            <w:r>
              <w:t>Custodied miner</w:t>
            </w:r>
          </w:p>
        </w:tc>
        <w:tc>
          <w:tcPr>
            <w:tcW w:type="dxa" w:w="7776"/>
            <w:vAlign w:val="center"/>
            <w:tcMar>
              <w:top w:w="80" w:type="dxa"/>
              <w:bottom w:w="80" w:type="dxa"/>
              <w:left w:w="95" w:type="dxa"/>
              <w:right w:w="95" w:type="dxa"/>
            </w:tcMar>
          </w:tcPr>
          <w:p>
            <w:pPr>
              <w:pStyle w:val="TableBody"/>
              <w:keepNext w:val="0"/>
            </w:pPr>
            <w:r>
              <w:t>ERC-721 #3204</w:t>
            </w:r>
          </w:p>
        </w:tc>
      </w:tr>
      <w:tr>
        <w:trPr>
          <w:cantSplit/>
        </w:trPr>
        <w:tc>
          <w:tcPr>
            <w:tcW w:type="dxa" w:w="2448"/>
            <w:vAlign w:val="center"/>
            <w:tcMar>
              <w:top w:w="80" w:type="dxa"/>
              <w:bottom w:w="80" w:type="dxa"/>
              <w:left w:w="95" w:type="dxa"/>
              <w:right w:w="95" w:type="dxa"/>
            </w:tcMar>
          </w:tcPr>
          <w:p>
            <w:pPr>
              <w:pStyle w:val="TableBody"/>
              <w:keepNext w:val="0"/>
            </w:pPr>
            <w:r>
              <w:t>Mining</w:t>
            </w:r>
          </w:p>
        </w:tc>
        <w:tc>
          <w:tcPr>
            <w:tcW w:type="dxa" w:w="7776"/>
            <w:vAlign w:val="center"/>
            <w:tcMar>
              <w:top w:w="80" w:type="dxa"/>
              <w:bottom w:w="80" w:type="dxa"/>
              <w:left w:w="95" w:type="dxa"/>
              <w:right w:w="95" w:type="dxa"/>
            </w:tcMar>
          </w:tcPr>
          <w:p>
            <w:pPr>
              <w:pStyle w:val="TableBody"/>
              <w:keepNext w:val="0"/>
            </w:pPr>
            <w:r>
              <w:t>0x7E2E0DC66a3bD9103E69b766afA62d9f7b697b46</w:t>
            </w:r>
          </w:p>
        </w:tc>
      </w:tr>
      <w:tr>
        <w:trPr>
          <w:cantSplit/>
        </w:trPr>
        <w:tc>
          <w:tcPr>
            <w:tcW w:type="dxa" w:w="2448"/>
            <w:vAlign w:val="center"/>
            <w:tcMar>
              <w:top w:w="80" w:type="dxa"/>
              <w:bottom w:w="80" w:type="dxa"/>
              <w:left w:w="95" w:type="dxa"/>
              <w:right w:w="95" w:type="dxa"/>
            </w:tcMar>
          </w:tcPr>
          <w:p>
            <w:pPr>
              <w:pStyle w:val="TableBody"/>
              <w:keepNext w:val="0"/>
            </w:pPr>
            <w:r>
              <w:t>BEM</w:t>
            </w:r>
          </w:p>
        </w:tc>
        <w:tc>
          <w:tcPr>
            <w:tcW w:type="dxa" w:w="7776"/>
            <w:vAlign w:val="center"/>
            <w:tcMar>
              <w:top w:w="80" w:type="dxa"/>
              <w:bottom w:w="80" w:type="dxa"/>
              <w:left w:w="95" w:type="dxa"/>
              <w:right w:w="95" w:type="dxa"/>
            </w:tcMar>
          </w:tcPr>
          <w:p>
            <w:pPr>
              <w:pStyle w:val="TableBody"/>
              <w:keepNext w:val="0"/>
            </w:pPr>
            <w:r>
              <w:t>0x5ce033B2bFCa3Af30b3e8C8457DeaF776A8b695a</w:t>
            </w:r>
          </w:p>
        </w:tc>
      </w:tr>
      <w:tr>
        <w:trPr>
          <w:cantSplit/>
        </w:trPr>
        <w:tc>
          <w:tcPr>
            <w:tcW w:type="dxa" w:w="2448"/>
            <w:vAlign w:val="center"/>
            <w:tcMar>
              <w:top w:w="80" w:type="dxa"/>
              <w:bottom w:w="80" w:type="dxa"/>
              <w:left w:w="95" w:type="dxa"/>
              <w:right w:w="95" w:type="dxa"/>
            </w:tcMar>
          </w:tcPr>
          <w:p>
            <w:pPr>
              <w:pStyle w:val="TableBody"/>
              <w:keepNext w:val="0"/>
            </w:pPr>
            <w:r>
              <w:t>owner / creator</w:t>
            </w:r>
          </w:p>
        </w:tc>
        <w:tc>
          <w:tcPr>
            <w:tcW w:type="dxa" w:w="7776"/>
            <w:vAlign w:val="center"/>
            <w:tcMar>
              <w:top w:w="80" w:type="dxa"/>
              <w:bottom w:w="80" w:type="dxa"/>
              <w:left w:w="95" w:type="dxa"/>
              <w:right w:w="95" w:type="dxa"/>
            </w:tcMar>
          </w:tcPr>
          <w:p>
            <w:pPr>
              <w:pStyle w:val="TableBody"/>
              <w:keepNext w:val="0"/>
            </w:pPr>
            <w:r>
              <w:t>0x7eEDccb674e9549b61B01Eb65aC68DA071ADF129</w:t>
            </w:r>
          </w:p>
        </w:tc>
      </w:tr>
      <w:tr>
        <w:trPr>
          <w:cantSplit/>
        </w:trPr>
        <w:tc>
          <w:tcPr>
            <w:tcW w:type="dxa" w:w="2448"/>
            <w:vAlign w:val="center"/>
            <w:tcMar>
              <w:top w:w="80" w:type="dxa"/>
              <w:bottom w:w="80" w:type="dxa"/>
              <w:left w:w="95" w:type="dxa"/>
              <w:right w:w="95" w:type="dxa"/>
            </w:tcMar>
          </w:tcPr>
          <w:p>
            <w:pPr>
              <w:pStyle w:val="TableBody"/>
              <w:keepNext w:val="0"/>
            </w:pPr>
            <w:r>
              <w:t>Wallet A</w:t>
            </w:r>
          </w:p>
        </w:tc>
        <w:tc>
          <w:tcPr>
            <w:tcW w:type="dxa" w:w="7776"/>
            <w:vAlign w:val="center"/>
            <w:tcMar>
              <w:top w:w="80" w:type="dxa"/>
              <w:bottom w:w="80" w:type="dxa"/>
              <w:left w:w="95" w:type="dxa"/>
              <w:right w:w="95" w:type="dxa"/>
            </w:tcMar>
          </w:tcPr>
          <w:p>
            <w:pPr>
              <w:pStyle w:val="TableBody"/>
              <w:keepNext w:val="0"/>
            </w:pPr>
            <w:r>
              <w:t>0x1b55E6A757987576E1a130A011f9E12498De7DB9</w:t>
            </w:r>
          </w:p>
        </w:tc>
      </w:tr>
      <w:tr>
        <w:trPr>
          <w:cantSplit/>
        </w:trPr>
        <w:tc>
          <w:tcPr>
            <w:tcW w:type="dxa" w:w="2448"/>
            <w:vAlign w:val="center"/>
            <w:tcMar>
              <w:top w:w="80" w:type="dxa"/>
              <w:bottom w:w="80" w:type="dxa"/>
              <w:left w:w="95" w:type="dxa"/>
              <w:right w:w="95" w:type="dxa"/>
            </w:tcMar>
          </w:tcPr>
          <w:p>
            <w:pPr>
              <w:pStyle w:val="TableBody"/>
              <w:keepNext w:val="0"/>
            </w:pPr>
            <w:r>
              <w:t>Wallet B</w:t>
            </w:r>
          </w:p>
        </w:tc>
        <w:tc>
          <w:tcPr>
            <w:tcW w:type="dxa" w:w="7776"/>
            <w:vAlign w:val="center"/>
            <w:tcMar>
              <w:top w:w="80" w:type="dxa"/>
              <w:bottom w:w="80" w:type="dxa"/>
              <w:left w:w="95" w:type="dxa"/>
              <w:right w:w="95" w:type="dxa"/>
            </w:tcMar>
          </w:tcPr>
          <w:p>
            <w:pPr>
              <w:pStyle w:val="TableBody"/>
              <w:keepNext w:val="0"/>
            </w:pPr>
            <w:r>
              <w:t>0x63979C9d5200A5080be93eb440D469d2F2ec6682</w:t>
            </w:r>
          </w:p>
        </w:tc>
      </w:tr>
    </w:tbl>
    <w:p>
      <w:pPr>
        <w:spacing w:after="40" w:before="0" w:line="40" w:lineRule="exact"/>
      </w:pPr>
      <w:r>
        <w:rPr>
          <w:sz w:val="4"/>
        </w:rPr>
      </w:r>
    </w:p>
    <w:p>
      <w:r>
        <w:t>The Vault issues ERC-1155 shares #1 and #2, one unit each, each with 50% reward entitlement. Initially A held #1 and B held #2. During testing #1 followed A → owner → A, while B continuously held #2. These share NFTs differ from the custodied ERC-721 miner #3204.</w:t>
      </w:r>
    </w:p>
    <w:p>
      <w:r>
        <w:t>Mainnet BEM has 8 decimals: one minimum unit equals 0.00000001 BEM. All amounts are reconciled as raw integers and converted only for display. Cumulative receipts count only this Vault's payments, exclude other wallet income, and do not subtract gas paid in BNB.</w:t>
      </w:r>
    </w:p>
    <w:p>
      <w:pPr>
        <w:pStyle w:val="Heading2"/>
      </w:pPr>
      <w:r>
        <w:t>Reward accounting</w:t>
      </w:r>
    </w:p>
    <w:p>
      <w:r>
        <w:t>Mining pending is reward income not yet harvested into the Vault. After harvest, new receipts are confirmed against actual BEM inflow events and the Vault ledger. harvestAndClaim first harvests, then pays claimable amounts for the caller's shares. An ordinary claim takes entitlement already in the Vault without harvesting Mining pending, but synchronizes actual receipts not yet accounted.</w:t>
      </w:r>
    </w:p>
    <w:p>
      <w:r>
        <w:t>Under this Active state and ordinary ERC-20 semantics, new receipts plus previous dust are divided equally by 2. An indivisible minimum unit carries forward. Each ID's claimable amount equals its cumulative entitlement minus its cumulative claimed amount. Transfer changes the holder while preserving claimed history and unclaimed rights; “half the current Vault balance” cannot replace the per-share ledger.</w:t>
      </w:r>
    </w:p>
    <w:p>
      <w:pPr>
        <w:pStyle w:val="Heading1"/>
      </w:pPr>
      <w:r>
        <w:t>2 Deployment deposit and mainnet overview</w:t>
      </w:r>
    </w:p>
    <w:p>
      <w:r>
        <w:t xml:space="preserve">The deployment transaction created the Vault successfully at block </w:t>
      </w:r>
      <w:r>
        <w:rPr>
          <w:b/>
        </w:rPr>
        <w:t>125537081</w:t>
      </w:r>
      <w:r>
        <w:t xml:space="preserve">, with owner and initial A/B bindings matching configuration. Deposit succeeded at block </w:t>
      </w:r>
      <w:r>
        <w:rPr>
          <w:b/>
        </w:rPr>
        <w:t>125539018</w:t>
      </w:r>
      <w:r>
        <w:t>. The saved post-observation at block 125539021 showed miner #3204 ownerOf=Vault, state changed from AwaitingDeposit to Active, and A/B holding the shares. See transaction index T01/T02 in section 8.</w:t>
      </w:r>
    </w:p>
    <w:p>
      <w:pPr>
        <w:pStyle w:val="Heading2"/>
      </w:pPr>
      <w:r>
        <w:t>Four mainnet rounds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752"/>
        <w:gridCol w:w="2160"/>
        <w:gridCol w:w="2160"/>
      </w:tblGrid>
      <w:tr>
        <w:trPr>
          <w:cantSplit/>
          <w:tblHeader w:val="1"/>
        </w:trPr>
        <w:tc>
          <w:tcPr>
            <w:tcW w:type="dxa" w:w="1152"/>
            <w:vAlign w:val="center"/>
            <w:tcMar>
              <w:top w:w="80" w:type="dxa"/>
              <w:bottom w:w="80" w:type="dxa"/>
              <w:left w:w="95" w:type="dxa"/>
              <w:right w:w="95" w:type="dxa"/>
            </w:tcMar>
            <w:shd w:fill="EDEDED"/>
          </w:tcPr>
          <w:p>
            <w:pPr>
              <w:pStyle w:val="TableBody"/>
              <w:keepNext w:val="0"/>
            </w:pPr>
            <w:r>
              <w:rPr>
                <w:b/>
              </w:rPr>
              <w:t>Round</w:t>
            </w:r>
          </w:p>
        </w:tc>
        <w:tc>
          <w:tcPr>
            <w:tcW w:type="dxa" w:w="4752"/>
            <w:vAlign w:val="center"/>
            <w:tcMar>
              <w:top w:w="80" w:type="dxa"/>
              <w:bottom w:w="80" w:type="dxa"/>
              <w:left w:w="95" w:type="dxa"/>
              <w:right w:w="95" w:type="dxa"/>
            </w:tcMar>
            <w:shd w:fill="EDEDED"/>
          </w:tcPr>
          <w:p>
            <w:pPr>
              <w:pStyle w:val="TableBody"/>
              <w:keepNext w:val="0"/>
            </w:pPr>
            <w:r>
              <w:rPr>
                <w:b/>
              </w:rPr>
              <w:t>Objective</w:t>
            </w:r>
          </w:p>
        </w:tc>
        <w:tc>
          <w:tcPr>
            <w:tcW w:type="dxa" w:w="2160"/>
            <w:vAlign w:val="center"/>
            <w:tcMar>
              <w:top w:w="80" w:type="dxa"/>
              <w:bottom w:w="80" w:type="dxa"/>
              <w:left w:w="95" w:type="dxa"/>
              <w:right w:w="95" w:type="dxa"/>
            </w:tcMar>
            <w:shd w:fill="EDEDED"/>
          </w:tcPr>
          <w:p>
            <w:pPr>
              <w:pStyle w:val="TableBody"/>
              <w:keepNext w:val="0"/>
            </w:pPr>
            <w:r>
              <w:rPr>
                <w:b/>
              </w:rPr>
              <w:t>Verification result</w:t>
            </w:r>
          </w:p>
        </w:tc>
        <w:tc>
          <w:tcPr>
            <w:tcW w:type="dxa" w:w="2160"/>
            <w:vAlign w:val="center"/>
            <w:tcMar>
              <w:top w:w="80" w:type="dxa"/>
              <w:bottom w:w="80" w:type="dxa"/>
              <w:left w:w="95" w:type="dxa"/>
              <w:right w:w="95" w:type="dxa"/>
            </w:tcMar>
            <w:shd w:fill="EDEDED"/>
          </w:tcPr>
          <w:p>
            <w:pPr>
              <w:pStyle w:val="TableBody"/>
              <w:keepNext w:val="0"/>
            </w:pPr>
            <w:r>
              <w:rPr>
                <w:b/>
              </w:rPr>
              <w:t>Final block</w:t>
            </w:r>
          </w:p>
        </w:tc>
      </w:tr>
      <w:tr>
        <w:trPr>
          <w:cantSplit/>
        </w:trPr>
        <w:tc>
          <w:tcPr>
            <w:tcW w:type="dxa" w:w="1152"/>
            <w:vAlign w:val="center"/>
            <w:tcMar>
              <w:top w:w="80" w:type="dxa"/>
              <w:bottom w:w="80" w:type="dxa"/>
              <w:left w:w="95" w:type="dxa"/>
              <w:right w:w="95" w:type="dxa"/>
            </w:tcMar>
          </w:tcPr>
          <w:p>
            <w:pPr>
              <w:pStyle w:val="TableBody"/>
              <w:keepNext w:val="0"/>
            </w:pPr>
            <w:r>
              <w:t>Round 1</w:t>
            </w:r>
          </w:p>
        </w:tc>
        <w:tc>
          <w:tcPr>
            <w:tcW w:type="dxa" w:w="4752"/>
            <w:vAlign w:val="center"/>
            <w:tcMar>
              <w:top w:w="80" w:type="dxa"/>
              <w:bottom w:w="80" w:type="dxa"/>
              <w:left w:w="95" w:type="dxa"/>
              <w:right w:w="95" w:type="dxa"/>
            </w:tcMar>
          </w:tcPr>
          <w:p>
            <w:pPr>
              <w:pStyle w:val="TableBody"/>
              <w:keepNext w:val="0"/>
            </w:pPr>
            <w:r>
              <w:t>A claims alone; B's entitlement remains</w:t>
            </w:r>
          </w:p>
        </w:tc>
        <w:tc>
          <w:tcPr>
            <w:tcW w:type="dxa" w:w="2160"/>
            <w:vAlign w:val="center"/>
            <w:tcMar>
              <w:top w:w="80" w:type="dxa"/>
              <w:bottom w:w="80" w:type="dxa"/>
              <w:left w:w="95" w:type="dxa"/>
              <w:right w:w="95" w:type="dxa"/>
            </w:tcMar>
          </w:tcPr>
          <w:p>
            <w:pPr>
              <w:pStyle w:val="TableBody"/>
              <w:keepNext w:val="0"/>
            </w:pPr>
            <w:r>
              <w:t>Passed</w:t>
            </w:r>
          </w:p>
        </w:tc>
        <w:tc>
          <w:tcPr>
            <w:tcW w:type="dxa" w:w="2160"/>
            <w:vAlign w:val="center"/>
            <w:tcMar>
              <w:top w:w="80" w:type="dxa"/>
              <w:bottom w:w="80" w:type="dxa"/>
              <w:left w:w="95" w:type="dxa"/>
              <w:right w:w="95" w:type="dxa"/>
            </w:tcMar>
          </w:tcPr>
          <w:p>
            <w:pPr>
              <w:pStyle w:val="TableBody"/>
              <w:keepNext w:val="0"/>
              <w:jc w:val="center"/>
            </w:pPr>
            <w:r>
              <w:t>125545984</w:t>
            </w:r>
          </w:p>
        </w:tc>
      </w:tr>
      <w:tr>
        <w:trPr>
          <w:cantSplit/>
        </w:trPr>
        <w:tc>
          <w:tcPr>
            <w:tcW w:type="dxa" w:w="1152"/>
            <w:vAlign w:val="center"/>
            <w:tcMar>
              <w:top w:w="80" w:type="dxa"/>
              <w:bottom w:w="80" w:type="dxa"/>
              <w:left w:w="95" w:type="dxa"/>
              <w:right w:w="95" w:type="dxa"/>
            </w:tcMar>
          </w:tcPr>
          <w:p>
            <w:pPr>
              <w:pStyle w:val="TableBody"/>
              <w:keepNext w:val="0"/>
            </w:pPr>
            <w:r>
              <w:t>Round 2</w:t>
            </w:r>
          </w:p>
        </w:tc>
        <w:tc>
          <w:tcPr>
            <w:tcW w:type="dxa" w:w="4752"/>
            <w:vAlign w:val="center"/>
            <w:tcMar>
              <w:top w:w="80" w:type="dxa"/>
              <w:bottom w:w="80" w:type="dxa"/>
              <w:left w:w="95" w:type="dxa"/>
              <w:right w:w="95" w:type="dxa"/>
            </w:tcMar>
          </w:tcPr>
          <w:p>
            <w:pPr>
              <w:pStyle w:val="TableBody"/>
              <w:keepNext w:val="0"/>
            </w:pPr>
            <w:r>
              <w:t>A/B settle one received batch with equal cumulative claims</w:t>
            </w:r>
          </w:p>
        </w:tc>
        <w:tc>
          <w:tcPr>
            <w:tcW w:type="dxa" w:w="2160"/>
            <w:vAlign w:val="center"/>
            <w:tcMar>
              <w:top w:w="80" w:type="dxa"/>
              <w:bottom w:w="80" w:type="dxa"/>
              <w:left w:w="95" w:type="dxa"/>
              <w:right w:w="95" w:type="dxa"/>
            </w:tcMar>
          </w:tcPr>
          <w:p>
            <w:pPr>
              <w:pStyle w:val="TableBody"/>
              <w:keepNext w:val="0"/>
            </w:pPr>
            <w:r>
              <w:t>Passed</w:t>
            </w:r>
          </w:p>
        </w:tc>
        <w:tc>
          <w:tcPr>
            <w:tcW w:type="dxa" w:w="2160"/>
            <w:vAlign w:val="center"/>
            <w:tcMar>
              <w:top w:w="80" w:type="dxa"/>
              <w:bottom w:w="80" w:type="dxa"/>
              <w:left w:w="95" w:type="dxa"/>
              <w:right w:w="95" w:type="dxa"/>
            </w:tcMar>
          </w:tcPr>
          <w:p>
            <w:pPr>
              <w:pStyle w:val="TableBody"/>
              <w:keepNext w:val="0"/>
              <w:jc w:val="center"/>
            </w:pPr>
            <w:r>
              <w:t>125643527</w:t>
            </w:r>
          </w:p>
        </w:tc>
      </w:tr>
      <w:tr>
        <w:trPr>
          <w:cantSplit/>
        </w:trPr>
        <w:tc>
          <w:tcPr>
            <w:tcW w:type="dxa" w:w="1152"/>
            <w:vAlign w:val="center"/>
            <w:tcMar>
              <w:top w:w="80" w:type="dxa"/>
              <w:bottom w:w="80" w:type="dxa"/>
              <w:left w:w="95" w:type="dxa"/>
              <w:right w:w="95" w:type="dxa"/>
            </w:tcMar>
          </w:tcPr>
          <w:p>
            <w:pPr>
              <w:pStyle w:val="TableBody"/>
              <w:keepNext w:val="0"/>
            </w:pPr>
            <w:r>
              <w:t>Round 3</w:t>
            </w:r>
          </w:p>
        </w:tc>
        <w:tc>
          <w:tcPr>
            <w:tcW w:type="dxa" w:w="4752"/>
            <w:vAlign w:val="center"/>
            <w:tcMar>
              <w:top w:w="80" w:type="dxa"/>
              <w:bottom w:w="80" w:type="dxa"/>
              <w:left w:w="95" w:type="dxa"/>
              <w:right w:w="95" w:type="dxa"/>
            </w:tcMar>
          </w:tcPr>
          <w:p>
            <w:pPr>
              <w:pStyle w:val="TableBody"/>
              <w:keepNext w:val="0"/>
            </w:pPr>
            <w:r>
              <w:t>owner continues to claim Mining rewards after A transfers</w:t>
            </w:r>
          </w:p>
        </w:tc>
        <w:tc>
          <w:tcPr>
            <w:tcW w:type="dxa" w:w="2160"/>
            <w:vAlign w:val="center"/>
            <w:tcMar>
              <w:top w:w="80" w:type="dxa"/>
              <w:bottom w:w="80" w:type="dxa"/>
              <w:left w:w="95" w:type="dxa"/>
              <w:right w:w="95" w:type="dxa"/>
            </w:tcMar>
          </w:tcPr>
          <w:p>
            <w:pPr>
              <w:pStyle w:val="TableBody"/>
              <w:keepNext w:val="0"/>
            </w:pPr>
            <w:r>
              <w:t>Passed</w:t>
            </w:r>
          </w:p>
        </w:tc>
        <w:tc>
          <w:tcPr>
            <w:tcW w:type="dxa" w:w="2160"/>
            <w:vAlign w:val="center"/>
            <w:tcMar>
              <w:top w:w="80" w:type="dxa"/>
              <w:bottom w:w="80" w:type="dxa"/>
              <w:left w:w="95" w:type="dxa"/>
              <w:right w:w="95" w:type="dxa"/>
            </w:tcMar>
          </w:tcPr>
          <w:p>
            <w:pPr>
              <w:pStyle w:val="TableBody"/>
              <w:keepNext w:val="0"/>
              <w:jc w:val="center"/>
            </w:pPr>
            <w:r>
              <w:t>125686606</w:t>
            </w:r>
          </w:p>
        </w:tc>
      </w:tr>
      <w:tr>
        <w:trPr>
          <w:cantSplit/>
        </w:trPr>
        <w:tc>
          <w:tcPr>
            <w:tcW w:type="dxa" w:w="1152"/>
            <w:vAlign w:val="center"/>
            <w:tcMar>
              <w:top w:w="80" w:type="dxa"/>
              <w:bottom w:w="80" w:type="dxa"/>
              <w:left w:w="95" w:type="dxa"/>
              <w:right w:w="95" w:type="dxa"/>
            </w:tcMar>
          </w:tcPr>
          <w:p>
            <w:pPr>
              <w:pStyle w:val="TableBody"/>
              <w:keepNext w:val="0"/>
            </w:pPr>
            <w:r>
              <w:t>Round 4</w:t>
            </w:r>
          </w:p>
        </w:tc>
        <w:tc>
          <w:tcPr>
            <w:tcW w:type="dxa" w:w="4752"/>
            <w:vAlign w:val="center"/>
            <w:tcMar>
              <w:top w:w="80" w:type="dxa"/>
              <w:bottom w:w="80" w:type="dxa"/>
              <w:left w:w="95" w:type="dxa"/>
              <w:right w:w="95" w:type="dxa"/>
            </w:tcMar>
          </w:tcPr>
          <w:p>
            <w:pPr>
              <w:pStyle w:val="TableBody"/>
              <w:keepNext w:val="0"/>
            </w:pPr>
            <w:r>
              <w:t>owner transfers received-but-unclaimed entitlement back to A with #1</w:t>
            </w:r>
          </w:p>
        </w:tc>
        <w:tc>
          <w:tcPr>
            <w:tcW w:type="dxa" w:w="2160"/>
            <w:vAlign w:val="center"/>
            <w:tcMar>
              <w:top w:w="80" w:type="dxa"/>
              <w:bottom w:w="80" w:type="dxa"/>
              <w:left w:w="95" w:type="dxa"/>
              <w:right w:w="95" w:type="dxa"/>
            </w:tcMar>
          </w:tcPr>
          <w:p>
            <w:pPr>
              <w:pStyle w:val="TableBody"/>
              <w:keepNext w:val="0"/>
            </w:pPr>
            <w:r>
              <w:t>Passed</w:t>
            </w:r>
          </w:p>
        </w:tc>
        <w:tc>
          <w:tcPr>
            <w:tcW w:type="dxa" w:w="2160"/>
            <w:vAlign w:val="center"/>
            <w:tcMar>
              <w:top w:w="80" w:type="dxa"/>
              <w:bottom w:w="80" w:type="dxa"/>
              <w:left w:w="95" w:type="dxa"/>
              <w:right w:w="95" w:type="dxa"/>
            </w:tcMar>
          </w:tcPr>
          <w:p>
            <w:pPr>
              <w:pStyle w:val="TableBody"/>
              <w:keepNext w:val="0"/>
              <w:jc w:val="center"/>
            </w:pPr>
            <w:r>
              <w:t>125712665</w:t>
            </w:r>
          </w:p>
        </w:tc>
      </w:tr>
    </w:tbl>
    <w:p>
      <w:pPr>
        <w:spacing w:after="40" w:before="0" w:line="40" w:lineRule="exact"/>
      </w:pPr>
      <w:r>
        <w:rPr>
          <w:sz w:val="4"/>
        </w:rPr>
      </w:r>
    </w:p>
    <w:p>
      <w:pPr>
        <w:pStyle w:val="Heading2"/>
      </w:pPr>
      <w:r>
        <w:t>Actual new receipts and payments</w:t>
      </w:r>
    </w:p>
    <w:p>
      <w:r>
        <w:t>All amounts below are BEM. Pending is the reading at the end of the block before the harvest transaction; these readings cannot be summed as actual income.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27"/>
        <w:gridCol w:w="1627"/>
        <w:gridCol w:w="1627"/>
        <w:gridCol w:w="1627"/>
        <w:gridCol w:w="1627"/>
      </w:tblGrid>
      <w:tr>
        <w:trPr>
          <w:cantSplit/>
          <w:tblHeader w:val="1"/>
        </w:trPr>
        <w:tc>
          <w:tcPr>
            <w:tcW w:type="dxa" w:w="2088"/>
            <w:vAlign w:val="center"/>
            <w:tcMar>
              <w:top w:w="80" w:type="dxa"/>
              <w:bottom w:w="80" w:type="dxa"/>
              <w:left w:w="95" w:type="dxa"/>
              <w:right w:w="95" w:type="dxa"/>
            </w:tcMar>
            <w:shd w:fill="EDEDED"/>
          </w:tcPr>
          <w:p>
            <w:pPr>
              <w:pStyle w:val="TableBody"/>
              <w:keepNext w:val="0"/>
            </w:pPr>
            <w:r>
              <w:rPr>
                <w:b/>
              </w:rPr>
              <w:t>Round</w:t>
            </w:r>
          </w:p>
        </w:tc>
        <w:tc>
          <w:tcPr>
            <w:tcW w:type="dxa" w:w="1627"/>
            <w:vAlign w:val="center"/>
            <w:tcMar>
              <w:top w:w="80" w:type="dxa"/>
              <w:bottom w:w="80" w:type="dxa"/>
              <w:left w:w="95" w:type="dxa"/>
              <w:right w:w="95" w:type="dxa"/>
            </w:tcMar>
            <w:shd w:fill="EDEDED"/>
          </w:tcPr>
          <w:p>
            <w:pPr>
              <w:pStyle w:val="TableBody"/>
              <w:keepNext w:val="0"/>
            </w:pPr>
            <w:r>
              <w:rPr>
                <w:b/>
              </w:rPr>
              <w:t>Pending before harvest</w:t>
            </w:r>
          </w:p>
        </w:tc>
        <w:tc>
          <w:tcPr>
            <w:tcW w:type="dxa" w:w="1627"/>
            <w:vAlign w:val="center"/>
            <w:tcMar>
              <w:top w:w="80" w:type="dxa"/>
              <w:bottom w:w="80" w:type="dxa"/>
              <w:left w:w="95" w:type="dxa"/>
              <w:right w:w="95" w:type="dxa"/>
            </w:tcMar>
            <w:shd w:fill="EDEDED"/>
          </w:tcPr>
          <w:p>
            <w:pPr>
              <w:pStyle w:val="TableBody"/>
              <w:keepNext w:val="0"/>
            </w:pPr>
            <w:r>
              <w:rPr>
                <w:b/>
              </w:rPr>
              <w:t>Actual new receipts</w:t>
            </w:r>
          </w:p>
        </w:tc>
        <w:tc>
          <w:tcPr>
            <w:tcW w:type="dxa" w:w="1627"/>
            <w:vAlign w:val="center"/>
            <w:tcMar>
              <w:top w:w="80" w:type="dxa"/>
              <w:bottom w:w="80" w:type="dxa"/>
              <w:left w:w="95" w:type="dxa"/>
              <w:right w:w="95" w:type="dxa"/>
            </w:tcMar>
            <w:shd w:fill="EDEDED"/>
          </w:tcPr>
          <w:p>
            <w:pPr>
              <w:pStyle w:val="TableBody"/>
              <w:keepNext w:val="0"/>
            </w:pPr>
            <w:r>
              <w:rPr>
                <w:b/>
              </w:rPr>
              <w:t>Paid to A</w:t>
            </w:r>
          </w:p>
        </w:tc>
        <w:tc>
          <w:tcPr>
            <w:tcW w:type="dxa" w:w="1627"/>
            <w:vAlign w:val="center"/>
            <w:tcMar>
              <w:top w:w="80" w:type="dxa"/>
              <w:bottom w:w="80" w:type="dxa"/>
              <w:left w:w="95" w:type="dxa"/>
              <w:right w:w="95" w:type="dxa"/>
            </w:tcMar>
            <w:shd w:fill="EDEDED"/>
          </w:tcPr>
          <w:p>
            <w:pPr>
              <w:pStyle w:val="TableBody"/>
              <w:keepNext w:val="0"/>
            </w:pPr>
            <w:r>
              <w:rPr>
                <w:b/>
              </w:rPr>
              <w:t>Paid to owner</w:t>
            </w:r>
          </w:p>
        </w:tc>
        <w:tc>
          <w:tcPr>
            <w:tcW w:type="dxa" w:w="1627"/>
            <w:vAlign w:val="center"/>
            <w:tcMar>
              <w:top w:w="80" w:type="dxa"/>
              <w:bottom w:w="80" w:type="dxa"/>
              <w:left w:w="95" w:type="dxa"/>
              <w:right w:w="95" w:type="dxa"/>
            </w:tcMar>
            <w:shd w:fill="EDEDED"/>
          </w:tcPr>
          <w:p>
            <w:pPr>
              <w:pStyle w:val="TableBody"/>
              <w:keepNext w:val="0"/>
            </w:pPr>
            <w:r>
              <w:rPr>
                <w:b/>
              </w:rPr>
              <w:t>Paid to B</w:t>
            </w:r>
          </w:p>
        </w:tc>
      </w:tr>
      <w:tr>
        <w:trPr>
          <w:cantSplit/>
        </w:trPr>
        <w:tc>
          <w:tcPr>
            <w:tcW w:type="dxa" w:w="2088"/>
            <w:vAlign w:val="center"/>
            <w:tcMar>
              <w:top w:w="80" w:type="dxa"/>
              <w:bottom w:w="80" w:type="dxa"/>
              <w:left w:w="95" w:type="dxa"/>
              <w:right w:w="95" w:type="dxa"/>
            </w:tcMar>
          </w:tcPr>
          <w:p>
            <w:pPr>
              <w:pStyle w:val="TableBody"/>
              <w:keepNext w:val="0"/>
            </w:pPr>
            <w:r>
              <w:t>Round 1</w:t>
            </w:r>
          </w:p>
        </w:tc>
        <w:tc>
          <w:tcPr>
            <w:tcW w:type="dxa" w:w="1627"/>
            <w:vAlign w:val="center"/>
            <w:tcMar>
              <w:top w:w="80" w:type="dxa"/>
              <w:bottom w:w="80" w:type="dxa"/>
              <w:left w:w="95" w:type="dxa"/>
              <w:right w:w="95" w:type="dxa"/>
            </w:tcMar>
          </w:tcPr>
          <w:p>
            <w:pPr>
              <w:pStyle w:val="TableBody"/>
              <w:keepNext w:val="0"/>
              <w:jc w:val="center"/>
            </w:pPr>
            <w:r>
              <w:t>0.00083930</w:t>
            </w:r>
          </w:p>
        </w:tc>
        <w:tc>
          <w:tcPr>
            <w:tcW w:type="dxa" w:w="1627"/>
            <w:vAlign w:val="center"/>
            <w:tcMar>
              <w:top w:w="80" w:type="dxa"/>
              <w:bottom w:w="80" w:type="dxa"/>
              <w:left w:w="95" w:type="dxa"/>
              <w:right w:w="95" w:type="dxa"/>
            </w:tcMar>
          </w:tcPr>
          <w:p>
            <w:pPr>
              <w:pStyle w:val="TableBody"/>
              <w:keepNext w:val="0"/>
              <w:jc w:val="center"/>
            </w:pPr>
            <w:r>
              <w:t>0.00084916</w:t>
            </w:r>
          </w:p>
        </w:tc>
        <w:tc>
          <w:tcPr>
            <w:tcW w:type="dxa" w:w="1627"/>
            <w:vAlign w:val="center"/>
            <w:tcMar>
              <w:top w:w="80" w:type="dxa"/>
              <w:bottom w:w="80" w:type="dxa"/>
              <w:left w:w="95" w:type="dxa"/>
              <w:right w:w="95" w:type="dxa"/>
            </w:tcMar>
          </w:tcPr>
          <w:p>
            <w:pPr>
              <w:pStyle w:val="TableBody"/>
              <w:keepNext w:val="0"/>
              <w:jc w:val="center"/>
            </w:pPr>
            <w:r>
              <w:t>0.00042458</w:t>
            </w:r>
          </w:p>
        </w:tc>
        <w:tc>
          <w:tcPr>
            <w:tcW w:type="dxa" w:w="1627"/>
            <w:vAlign w:val="center"/>
            <w:tcMar>
              <w:top w:w="80" w:type="dxa"/>
              <w:bottom w:w="80" w:type="dxa"/>
              <w:left w:w="95" w:type="dxa"/>
              <w:right w:w="95" w:type="dxa"/>
            </w:tcMar>
          </w:tcPr>
          <w:p>
            <w:pPr>
              <w:pStyle w:val="TableBody"/>
              <w:keepNext w:val="0"/>
              <w:jc w:val="center"/>
            </w:pPr>
            <w:r>
              <w:t>0</w:t>
            </w:r>
          </w:p>
        </w:tc>
        <w:tc>
          <w:tcPr>
            <w:tcW w:type="dxa" w:w="1627"/>
            <w:vAlign w:val="center"/>
            <w:tcMar>
              <w:top w:w="80" w:type="dxa"/>
              <w:bottom w:w="80" w:type="dxa"/>
              <w:left w:w="95" w:type="dxa"/>
              <w:right w:w="95" w:type="dxa"/>
            </w:tcMar>
          </w:tcPr>
          <w:p>
            <w:pPr>
              <w:pStyle w:val="TableBody"/>
              <w:keepNext w:val="0"/>
              <w:jc w:val="center"/>
            </w:pPr>
            <w:r>
              <w:t>0</w:t>
            </w:r>
          </w:p>
        </w:tc>
      </w:tr>
      <w:tr>
        <w:trPr>
          <w:cantSplit/>
        </w:trPr>
        <w:tc>
          <w:tcPr>
            <w:tcW w:type="dxa" w:w="2088"/>
            <w:vAlign w:val="center"/>
            <w:tcMar>
              <w:top w:w="80" w:type="dxa"/>
              <w:bottom w:w="80" w:type="dxa"/>
              <w:left w:w="95" w:type="dxa"/>
              <w:right w:w="95" w:type="dxa"/>
            </w:tcMar>
          </w:tcPr>
          <w:p>
            <w:pPr>
              <w:pStyle w:val="TableBody"/>
              <w:keepNext w:val="0"/>
            </w:pPr>
            <w:r>
              <w:t>Round 2</w:t>
            </w:r>
          </w:p>
        </w:tc>
        <w:tc>
          <w:tcPr>
            <w:tcW w:type="dxa" w:w="1627"/>
            <w:vAlign w:val="center"/>
            <w:tcMar>
              <w:top w:w="80" w:type="dxa"/>
              <w:bottom w:w="80" w:type="dxa"/>
              <w:left w:w="95" w:type="dxa"/>
              <w:right w:w="95" w:type="dxa"/>
            </w:tcMar>
          </w:tcPr>
          <w:p>
            <w:pPr>
              <w:pStyle w:val="TableBody"/>
              <w:keepNext w:val="0"/>
              <w:jc w:val="center"/>
            </w:pPr>
            <w:r>
              <w:t>0.00469993</w:t>
            </w:r>
          </w:p>
        </w:tc>
        <w:tc>
          <w:tcPr>
            <w:tcW w:type="dxa" w:w="1627"/>
            <w:vAlign w:val="center"/>
            <w:tcMar>
              <w:top w:w="80" w:type="dxa"/>
              <w:bottom w:w="80" w:type="dxa"/>
              <w:left w:w="95" w:type="dxa"/>
              <w:right w:w="95" w:type="dxa"/>
            </w:tcMar>
          </w:tcPr>
          <w:p>
            <w:pPr>
              <w:pStyle w:val="TableBody"/>
              <w:keepNext w:val="0"/>
              <w:jc w:val="center"/>
            </w:pPr>
            <w:r>
              <w:t>0.00470357</w:t>
            </w:r>
          </w:p>
        </w:tc>
        <w:tc>
          <w:tcPr>
            <w:tcW w:type="dxa" w:w="1627"/>
            <w:vAlign w:val="center"/>
            <w:tcMar>
              <w:top w:w="80" w:type="dxa"/>
              <w:bottom w:w="80" w:type="dxa"/>
              <w:left w:w="95" w:type="dxa"/>
              <w:right w:w="95" w:type="dxa"/>
            </w:tcMar>
          </w:tcPr>
          <w:p>
            <w:pPr>
              <w:pStyle w:val="TableBody"/>
              <w:keepNext w:val="0"/>
              <w:jc w:val="center"/>
            </w:pPr>
            <w:r>
              <w:t>0.00235178</w:t>
            </w:r>
          </w:p>
        </w:tc>
        <w:tc>
          <w:tcPr>
            <w:tcW w:type="dxa" w:w="1627"/>
            <w:vAlign w:val="center"/>
            <w:tcMar>
              <w:top w:w="80" w:type="dxa"/>
              <w:bottom w:w="80" w:type="dxa"/>
              <w:left w:w="95" w:type="dxa"/>
              <w:right w:w="95" w:type="dxa"/>
            </w:tcMar>
          </w:tcPr>
          <w:p>
            <w:pPr>
              <w:pStyle w:val="TableBody"/>
              <w:keepNext w:val="0"/>
              <w:jc w:val="center"/>
            </w:pPr>
            <w:r>
              <w:t>0</w:t>
            </w:r>
          </w:p>
        </w:tc>
        <w:tc>
          <w:tcPr>
            <w:tcW w:type="dxa" w:w="1627"/>
            <w:vAlign w:val="center"/>
            <w:tcMar>
              <w:top w:w="80" w:type="dxa"/>
              <w:bottom w:w="80" w:type="dxa"/>
              <w:left w:w="95" w:type="dxa"/>
              <w:right w:w="95" w:type="dxa"/>
            </w:tcMar>
          </w:tcPr>
          <w:p>
            <w:pPr>
              <w:pStyle w:val="TableBody"/>
              <w:keepNext w:val="0"/>
              <w:jc w:val="center"/>
            </w:pPr>
            <w:r>
              <w:t>0.00277636</w:t>
            </w:r>
          </w:p>
        </w:tc>
      </w:tr>
      <w:tr>
        <w:trPr>
          <w:cantSplit/>
        </w:trPr>
        <w:tc>
          <w:tcPr>
            <w:tcW w:type="dxa" w:w="2088"/>
            <w:vAlign w:val="center"/>
            <w:tcMar>
              <w:top w:w="80" w:type="dxa"/>
              <w:bottom w:w="80" w:type="dxa"/>
              <w:left w:w="95" w:type="dxa"/>
              <w:right w:w="95" w:type="dxa"/>
            </w:tcMar>
          </w:tcPr>
          <w:p>
            <w:pPr>
              <w:pStyle w:val="TableBody"/>
              <w:keepNext w:val="0"/>
            </w:pPr>
            <w:r>
              <w:t>Round 3</w:t>
            </w:r>
          </w:p>
        </w:tc>
        <w:tc>
          <w:tcPr>
            <w:tcW w:type="dxa" w:w="1627"/>
            <w:vAlign w:val="center"/>
            <w:tcMar>
              <w:top w:w="80" w:type="dxa"/>
              <w:bottom w:w="80" w:type="dxa"/>
              <w:left w:w="95" w:type="dxa"/>
              <w:right w:w="95" w:type="dxa"/>
            </w:tcMar>
          </w:tcPr>
          <w:p>
            <w:pPr>
              <w:pStyle w:val="TableBody"/>
              <w:keepNext w:val="0"/>
              <w:jc w:val="center"/>
            </w:pPr>
            <w:r>
              <w:t>0.00206523</w:t>
            </w:r>
          </w:p>
        </w:tc>
        <w:tc>
          <w:tcPr>
            <w:tcW w:type="dxa" w:w="1627"/>
            <w:vAlign w:val="center"/>
            <w:tcMar>
              <w:top w:w="80" w:type="dxa"/>
              <w:bottom w:w="80" w:type="dxa"/>
              <w:left w:w="95" w:type="dxa"/>
              <w:right w:w="95" w:type="dxa"/>
            </w:tcMar>
          </w:tcPr>
          <w:p>
            <w:pPr>
              <w:pStyle w:val="TableBody"/>
              <w:keepNext w:val="0"/>
              <w:jc w:val="center"/>
            </w:pPr>
            <w:r>
              <w:t>0.00207810</w:t>
            </w:r>
          </w:p>
        </w:tc>
        <w:tc>
          <w:tcPr>
            <w:tcW w:type="dxa" w:w="1627"/>
            <w:vAlign w:val="center"/>
            <w:tcMar>
              <w:top w:w="80" w:type="dxa"/>
              <w:bottom w:w="80" w:type="dxa"/>
              <w:left w:w="95" w:type="dxa"/>
              <w:right w:w="95" w:type="dxa"/>
            </w:tcMar>
          </w:tcPr>
          <w:p>
            <w:pPr>
              <w:pStyle w:val="TableBody"/>
              <w:keepNext w:val="0"/>
              <w:jc w:val="center"/>
            </w:pPr>
            <w:r>
              <w:t>0</w:t>
            </w:r>
          </w:p>
        </w:tc>
        <w:tc>
          <w:tcPr>
            <w:tcW w:type="dxa" w:w="1627"/>
            <w:vAlign w:val="center"/>
            <w:tcMar>
              <w:top w:w="80" w:type="dxa"/>
              <w:bottom w:w="80" w:type="dxa"/>
              <w:left w:w="95" w:type="dxa"/>
              <w:right w:w="95" w:type="dxa"/>
            </w:tcMar>
          </w:tcPr>
          <w:p>
            <w:pPr>
              <w:pStyle w:val="TableBody"/>
              <w:keepNext w:val="0"/>
              <w:jc w:val="center"/>
            </w:pPr>
            <w:r>
              <w:t>0.00103905</w:t>
            </w:r>
          </w:p>
        </w:tc>
        <w:tc>
          <w:tcPr>
            <w:tcW w:type="dxa" w:w="1627"/>
            <w:vAlign w:val="center"/>
            <w:tcMar>
              <w:top w:w="80" w:type="dxa"/>
              <w:bottom w:w="80" w:type="dxa"/>
              <w:left w:w="95" w:type="dxa"/>
              <w:right w:w="95" w:type="dxa"/>
            </w:tcMar>
          </w:tcPr>
          <w:p>
            <w:pPr>
              <w:pStyle w:val="TableBody"/>
              <w:keepNext w:val="0"/>
              <w:jc w:val="center"/>
            </w:pPr>
            <w:r>
              <w:t>0.00103905</w:t>
            </w:r>
          </w:p>
        </w:tc>
      </w:tr>
      <w:tr>
        <w:trPr>
          <w:cantSplit/>
        </w:trPr>
        <w:tc>
          <w:tcPr>
            <w:tcW w:type="dxa" w:w="2088"/>
            <w:vAlign w:val="center"/>
            <w:tcMar>
              <w:top w:w="80" w:type="dxa"/>
              <w:bottom w:w="80" w:type="dxa"/>
              <w:left w:w="95" w:type="dxa"/>
              <w:right w:w="95" w:type="dxa"/>
            </w:tcMar>
          </w:tcPr>
          <w:p>
            <w:pPr>
              <w:pStyle w:val="TableBody"/>
              <w:keepNext w:val="0"/>
            </w:pPr>
            <w:r>
              <w:t>Round 4</w:t>
            </w:r>
          </w:p>
        </w:tc>
        <w:tc>
          <w:tcPr>
            <w:tcW w:type="dxa" w:w="1627"/>
            <w:vAlign w:val="center"/>
            <w:tcMar>
              <w:top w:w="80" w:type="dxa"/>
              <w:bottom w:w="80" w:type="dxa"/>
              <w:left w:w="95" w:type="dxa"/>
              <w:right w:w="95" w:type="dxa"/>
            </w:tcMar>
          </w:tcPr>
          <w:p>
            <w:pPr>
              <w:pStyle w:val="TableBody"/>
              <w:keepNext w:val="0"/>
              <w:jc w:val="center"/>
            </w:pPr>
            <w:r>
              <w:t>0.00111528</w:t>
            </w:r>
          </w:p>
        </w:tc>
        <w:tc>
          <w:tcPr>
            <w:tcW w:type="dxa" w:w="1627"/>
            <w:vAlign w:val="center"/>
            <w:tcMar>
              <w:top w:w="80" w:type="dxa"/>
              <w:bottom w:w="80" w:type="dxa"/>
              <w:left w:w="95" w:type="dxa"/>
              <w:right w:w="95" w:type="dxa"/>
            </w:tcMar>
          </w:tcPr>
          <w:p>
            <w:pPr>
              <w:pStyle w:val="TableBody"/>
              <w:keepNext w:val="0"/>
              <w:jc w:val="center"/>
            </w:pPr>
            <w:r>
              <w:t>0.00112075</w:t>
            </w:r>
          </w:p>
        </w:tc>
        <w:tc>
          <w:tcPr>
            <w:tcW w:type="dxa" w:w="1627"/>
            <w:vAlign w:val="center"/>
            <w:tcMar>
              <w:top w:w="80" w:type="dxa"/>
              <w:bottom w:w="80" w:type="dxa"/>
              <w:left w:w="95" w:type="dxa"/>
              <w:right w:w="95" w:type="dxa"/>
            </w:tcMar>
          </w:tcPr>
          <w:p>
            <w:pPr>
              <w:pStyle w:val="TableBody"/>
              <w:keepNext w:val="0"/>
              <w:jc w:val="center"/>
            </w:pPr>
            <w:r>
              <w:t>0.00056038</w:t>
            </w:r>
          </w:p>
        </w:tc>
        <w:tc>
          <w:tcPr>
            <w:tcW w:type="dxa" w:w="1627"/>
            <w:vAlign w:val="center"/>
            <w:tcMar>
              <w:top w:w="80" w:type="dxa"/>
              <w:bottom w:w="80" w:type="dxa"/>
              <w:left w:w="95" w:type="dxa"/>
              <w:right w:w="95" w:type="dxa"/>
            </w:tcMar>
          </w:tcPr>
          <w:p>
            <w:pPr>
              <w:pStyle w:val="TableBody"/>
              <w:keepNext w:val="0"/>
              <w:jc w:val="center"/>
            </w:pPr>
            <w:r>
              <w:t>0</w:t>
            </w:r>
          </w:p>
        </w:tc>
        <w:tc>
          <w:tcPr>
            <w:tcW w:type="dxa" w:w="1627"/>
            <w:vAlign w:val="center"/>
            <w:tcMar>
              <w:top w:w="80" w:type="dxa"/>
              <w:bottom w:w="80" w:type="dxa"/>
              <w:left w:w="95" w:type="dxa"/>
              <w:right w:w="95" w:type="dxa"/>
            </w:tcMar>
          </w:tcPr>
          <w:p>
            <w:pPr>
              <w:pStyle w:val="TableBody"/>
              <w:keepNext w:val="0"/>
              <w:jc w:val="center"/>
            </w:pPr>
            <w:r>
              <w:t>0.00056038</w:t>
            </w:r>
          </w:p>
        </w:tc>
      </w:tr>
      <w:tr>
        <w:trPr>
          <w:cantSplit/>
        </w:trPr>
        <w:tc>
          <w:tcPr>
            <w:tcW w:type="dxa" w:w="2088"/>
            <w:vAlign w:val="center"/>
            <w:tcMar>
              <w:top w:w="80" w:type="dxa"/>
              <w:bottom w:w="80" w:type="dxa"/>
              <w:left w:w="95" w:type="dxa"/>
              <w:right w:w="95" w:type="dxa"/>
            </w:tcMar>
          </w:tcPr>
          <w:p>
            <w:pPr>
              <w:pStyle w:val="TableBody"/>
              <w:keepNext w:val="0"/>
            </w:pPr>
            <w:r>
              <w:t>Total</w:t>
            </w:r>
          </w:p>
        </w:tc>
        <w:tc>
          <w:tcPr>
            <w:tcW w:type="dxa" w:w="1627"/>
            <w:vAlign w:val="center"/>
            <w:tcMar>
              <w:top w:w="80" w:type="dxa"/>
              <w:bottom w:w="80" w:type="dxa"/>
              <w:left w:w="95" w:type="dxa"/>
              <w:right w:w="95" w:type="dxa"/>
            </w:tcMar>
          </w:tcPr>
          <w:p>
            <w:pPr>
              <w:pStyle w:val="TableBody"/>
              <w:keepNext w:val="0"/>
            </w:pPr>
            <w:r>
              <w:t>Not applicable</w:t>
            </w:r>
          </w:p>
        </w:tc>
        <w:tc>
          <w:tcPr>
            <w:tcW w:type="dxa" w:w="1627"/>
            <w:vAlign w:val="center"/>
            <w:tcMar>
              <w:top w:w="80" w:type="dxa"/>
              <w:bottom w:w="80" w:type="dxa"/>
              <w:left w:w="95" w:type="dxa"/>
              <w:right w:w="95" w:type="dxa"/>
            </w:tcMar>
          </w:tcPr>
          <w:p>
            <w:pPr>
              <w:pStyle w:val="TableBody"/>
              <w:keepNext w:val="0"/>
              <w:jc w:val="center"/>
            </w:pPr>
            <w:r>
              <w:rPr>
                <w:b/>
              </w:rPr>
              <w:t>0.00875158</w:t>
            </w:r>
          </w:p>
        </w:tc>
        <w:tc>
          <w:tcPr>
            <w:tcW w:type="dxa" w:w="1627"/>
            <w:vAlign w:val="center"/>
            <w:tcMar>
              <w:top w:w="80" w:type="dxa"/>
              <w:bottom w:w="80" w:type="dxa"/>
              <w:left w:w="95" w:type="dxa"/>
              <w:right w:w="95" w:type="dxa"/>
            </w:tcMar>
          </w:tcPr>
          <w:p>
            <w:pPr>
              <w:pStyle w:val="TableBody"/>
              <w:keepNext w:val="0"/>
              <w:jc w:val="center"/>
            </w:pPr>
            <w:r>
              <w:rPr>
                <w:b/>
              </w:rPr>
              <w:t>0.00333674</w:t>
            </w:r>
          </w:p>
        </w:tc>
        <w:tc>
          <w:tcPr>
            <w:tcW w:type="dxa" w:w="1627"/>
            <w:vAlign w:val="center"/>
            <w:tcMar>
              <w:top w:w="80" w:type="dxa"/>
              <w:bottom w:w="80" w:type="dxa"/>
              <w:left w:w="95" w:type="dxa"/>
              <w:right w:w="95" w:type="dxa"/>
            </w:tcMar>
          </w:tcPr>
          <w:p>
            <w:pPr>
              <w:pStyle w:val="TableBody"/>
              <w:keepNext w:val="0"/>
              <w:jc w:val="center"/>
            </w:pPr>
            <w:r>
              <w:rPr>
                <w:b/>
              </w:rPr>
              <w:t>0.00103905</w:t>
            </w:r>
          </w:p>
        </w:tc>
        <w:tc>
          <w:tcPr>
            <w:tcW w:type="dxa" w:w="1627"/>
            <w:vAlign w:val="center"/>
            <w:tcMar>
              <w:top w:w="80" w:type="dxa"/>
              <w:bottom w:w="80" w:type="dxa"/>
              <w:left w:w="95" w:type="dxa"/>
              <w:right w:w="95" w:type="dxa"/>
            </w:tcMar>
          </w:tcPr>
          <w:p>
            <w:pPr>
              <w:pStyle w:val="TableBody"/>
              <w:keepNext w:val="0"/>
              <w:jc w:val="center"/>
            </w:pPr>
            <w:r>
              <w:rPr>
                <w:b/>
              </w:rPr>
              <w:t>0.00437579</w:t>
            </w:r>
          </w:p>
        </w:tc>
      </w:tr>
    </w:tbl>
    <w:p>
      <w:pPr>
        <w:spacing w:after="40" w:before="0" w:line="40" w:lineRule="exact"/>
      </w:pPr>
      <w:r>
        <w:rPr>
          <w:sz w:val="4"/>
        </w:rPr>
      </w:r>
    </w:p>
    <w:p>
      <w:r>
        <w:t>Round 1 paid only A's portion; B recovered the retained history in round 2. Round 4 payments totaled 0.00112076 BEM, exceeding new receipts by 0.00000001 BEM because the previous remainder also participated in allocation. Total receipts and payments across all four rounds are equal.</w:t>
      </w:r>
    </w:p>
    <w:p>
      <w:pPr>
        <w:pStyle w:val="Heading2"/>
      </w:pPr>
      <w:r>
        <w:t>Ledger at the end of each round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1627"/>
        <w:gridCol w:w="1627"/>
        <w:gridCol w:w="1627"/>
        <w:gridCol w:w="1627"/>
        <w:gridCol w:w="1627"/>
      </w:tblGrid>
      <w:tr>
        <w:trPr>
          <w:cantSplit/>
          <w:tblHeader w:val="1"/>
        </w:trPr>
        <w:tc>
          <w:tcPr>
            <w:tcW w:type="dxa" w:w="2088"/>
            <w:vAlign w:val="center"/>
            <w:tcMar>
              <w:top w:w="80" w:type="dxa"/>
              <w:bottom w:w="80" w:type="dxa"/>
              <w:left w:w="95" w:type="dxa"/>
              <w:right w:w="95" w:type="dxa"/>
            </w:tcMar>
            <w:shd w:fill="EDEDED"/>
          </w:tcPr>
          <w:p>
            <w:pPr>
              <w:pStyle w:val="TableBody"/>
              <w:keepNext w:val="0"/>
            </w:pPr>
            <w:r>
              <w:rPr>
                <w:b/>
              </w:rPr>
              <w:t>Round</w:t>
            </w:r>
          </w:p>
        </w:tc>
        <w:tc>
          <w:tcPr>
            <w:tcW w:type="dxa" w:w="1627"/>
            <w:vAlign w:val="center"/>
            <w:tcMar>
              <w:top w:w="80" w:type="dxa"/>
              <w:bottom w:w="80" w:type="dxa"/>
              <w:left w:w="95" w:type="dxa"/>
              <w:right w:w="95" w:type="dxa"/>
            </w:tcMar>
            <w:shd w:fill="EDEDED"/>
          </w:tcPr>
          <w:p>
            <w:pPr>
              <w:pStyle w:val="TableBody"/>
              <w:keepNext w:val="0"/>
            </w:pPr>
            <w:r>
              <w:rPr>
                <w:b/>
              </w:rPr>
              <w:t>#1 cumulative claimed</w:t>
            </w:r>
          </w:p>
        </w:tc>
        <w:tc>
          <w:tcPr>
            <w:tcW w:type="dxa" w:w="1627"/>
            <w:vAlign w:val="center"/>
            <w:tcMar>
              <w:top w:w="80" w:type="dxa"/>
              <w:bottom w:w="80" w:type="dxa"/>
              <w:left w:w="95" w:type="dxa"/>
              <w:right w:w="95" w:type="dxa"/>
            </w:tcMar>
            <w:shd w:fill="EDEDED"/>
          </w:tcPr>
          <w:p>
            <w:pPr>
              <w:pStyle w:val="TableBody"/>
              <w:keepNext w:val="0"/>
            </w:pPr>
            <w:r>
              <w:rPr>
                <w:b/>
              </w:rPr>
              <w:t>#2 cumulative claimed</w:t>
            </w:r>
          </w:p>
        </w:tc>
        <w:tc>
          <w:tcPr>
            <w:tcW w:type="dxa" w:w="1627"/>
            <w:vAlign w:val="center"/>
            <w:tcMar>
              <w:top w:w="80" w:type="dxa"/>
              <w:bottom w:w="80" w:type="dxa"/>
              <w:left w:w="95" w:type="dxa"/>
              <w:right w:w="95" w:type="dxa"/>
            </w:tcMar>
            <w:shd w:fill="EDEDED"/>
          </w:tcPr>
          <w:p>
            <w:pPr>
              <w:pStyle w:val="TableBody"/>
              <w:keepNext w:val="0"/>
            </w:pPr>
            <w:r>
              <w:rPr>
                <w:b/>
              </w:rPr>
              <w:t>#1 still claimable</w:t>
            </w:r>
          </w:p>
        </w:tc>
        <w:tc>
          <w:tcPr>
            <w:tcW w:type="dxa" w:w="1627"/>
            <w:vAlign w:val="center"/>
            <w:tcMar>
              <w:top w:w="80" w:type="dxa"/>
              <w:bottom w:w="80" w:type="dxa"/>
              <w:left w:w="95" w:type="dxa"/>
              <w:right w:w="95" w:type="dxa"/>
            </w:tcMar>
            <w:shd w:fill="EDEDED"/>
          </w:tcPr>
          <w:p>
            <w:pPr>
              <w:pStyle w:val="TableBody"/>
              <w:keepNext w:val="0"/>
            </w:pPr>
            <w:r>
              <w:rPr>
                <w:b/>
              </w:rPr>
              <w:t>#2 still claimable</w:t>
            </w:r>
          </w:p>
        </w:tc>
        <w:tc>
          <w:tcPr>
            <w:tcW w:type="dxa" w:w="1627"/>
            <w:vAlign w:val="center"/>
            <w:tcMar>
              <w:top w:w="80" w:type="dxa"/>
              <w:bottom w:w="80" w:type="dxa"/>
              <w:left w:w="95" w:type="dxa"/>
              <w:right w:w="95" w:type="dxa"/>
            </w:tcMar>
            <w:shd w:fill="EDEDED"/>
          </w:tcPr>
          <w:p>
            <w:pPr>
              <w:pStyle w:val="TableBody"/>
              <w:keepNext w:val="0"/>
            </w:pPr>
            <w:r>
              <w:rPr>
                <w:b/>
              </w:rPr>
              <w:t>Vault balance</w:t>
            </w:r>
          </w:p>
        </w:tc>
      </w:tr>
      <w:tr>
        <w:trPr>
          <w:cantSplit/>
        </w:trPr>
        <w:tc>
          <w:tcPr>
            <w:tcW w:type="dxa" w:w="2088"/>
            <w:vAlign w:val="center"/>
            <w:tcMar>
              <w:top w:w="80" w:type="dxa"/>
              <w:bottom w:w="80" w:type="dxa"/>
              <w:left w:w="95" w:type="dxa"/>
              <w:right w:w="95" w:type="dxa"/>
            </w:tcMar>
          </w:tcPr>
          <w:p>
            <w:pPr>
              <w:pStyle w:val="TableBody"/>
              <w:keepNext w:val="0"/>
            </w:pPr>
            <w:r>
              <w:t>Round 1</w:t>
            </w:r>
          </w:p>
        </w:tc>
        <w:tc>
          <w:tcPr>
            <w:tcW w:type="dxa" w:w="1627"/>
            <w:vAlign w:val="center"/>
            <w:tcMar>
              <w:top w:w="80" w:type="dxa"/>
              <w:bottom w:w="80" w:type="dxa"/>
              <w:left w:w="95" w:type="dxa"/>
              <w:right w:w="95" w:type="dxa"/>
            </w:tcMar>
          </w:tcPr>
          <w:p>
            <w:pPr>
              <w:pStyle w:val="TableBody"/>
              <w:keepNext w:val="0"/>
              <w:jc w:val="center"/>
            </w:pPr>
            <w:r>
              <w:t>0.00042458</w:t>
            </w:r>
          </w:p>
        </w:tc>
        <w:tc>
          <w:tcPr>
            <w:tcW w:type="dxa" w:w="1627"/>
            <w:vAlign w:val="center"/>
            <w:tcMar>
              <w:top w:w="80" w:type="dxa"/>
              <w:bottom w:w="80" w:type="dxa"/>
              <w:left w:w="95" w:type="dxa"/>
              <w:right w:w="95" w:type="dxa"/>
            </w:tcMar>
          </w:tcPr>
          <w:p>
            <w:pPr>
              <w:pStyle w:val="TableBody"/>
              <w:keepNext w:val="0"/>
              <w:jc w:val="center"/>
            </w:pPr>
            <w:r>
              <w:t>0</w:t>
            </w:r>
          </w:p>
        </w:tc>
        <w:tc>
          <w:tcPr>
            <w:tcW w:type="dxa" w:w="1627"/>
            <w:vAlign w:val="center"/>
            <w:tcMar>
              <w:top w:w="80" w:type="dxa"/>
              <w:bottom w:w="80" w:type="dxa"/>
              <w:left w:w="95" w:type="dxa"/>
              <w:right w:w="95" w:type="dxa"/>
            </w:tcMar>
          </w:tcPr>
          <w:p>
            <w:pPr>
              <w:pStyle w:val="TableBody"/>
              <w:keepNext w:val="0"/>
              <w:jc w:val="center"/>
            </w:pPr>
            <w:r>
              <w:t>0</w:t>
            </w:r>
          </w:p>
        </w:tc>
        <w:tc>
          <w:tcPr>
            <w:tcW w:type="dxa" w:w="1627"/>
            <w:vAlign w:val="center"/>
            <w:tcMar>
              <w:top w:w="80" w:type="dxa"/>
              <w:bottom w:w="80" w:type="dxa"/>
              <w:left w:w="95" w:type="dxa"/>
              <w:right w:w="95" w:type="dxa"/>
            </w:tcMar>
          </w:tcPr>
          <w:p>
            <w:pPr>
              <w:pStyle w:val="TableBody"/>
              <w:keepNext w:val="0"/>
              <w:jc w:val="center"/>
            </w:pPr>
            <w:r>
              <w:t>0.00042458</w:t>
            </w:r>
          </w:p>
        </w:tc>
        <w:tc>
          <w:tcPr>
            <w:tcW w:type="dxa" w:w="1627"/>
            <w:vAlign w:val="center"/>
            <w:tcMar>
              <w:top w:w="80" w:type="dxa"/>
              <w:bottom w:w="80" w:type="dxa"/>
              <w:left w:w="95" w:type="dxa"/>
              <w:right w:w="95" w:type="dxa"/>
            </w:tcMar>
          </w:tcPr>
          <w:p>
            <w:pPr>
              <w:pStyle w:val="TableBody"/>
              <w:keepNext w:val="0"/>
              <w:jc w:val="center"/>
            </w:pPr>
            <w:r>
              <w:t>0.00042458</w:t>
            </w:r>
          </w:p>
        </w:tc>
      </w:tr>
      <w:tr>
        <w:trPr>
          <w:cantSplit/>
        </w:trPr>
        <w:tc>
          <w:tcPr>
            <w:tcW w:type="dxa" w:w="2088"/>
            <w:vAlign w:val="center"/>
            <w:tcMar>
              <w:top w:w="80" w:type="dxa"/>
              <w:bottom w:w="80" w:type="dxa"/>
              <w:left w:w="95" w:type="dxa"/>
              <w:right w:w="95" w:type="dxa"/>
            </w:tcMar>
          </w:tcPr>
          <w:p>
            <w:pPr>
              <w:pStyle w:val="TableBody"/>
              <w:keepNext w:val="0"/>
            </w:pPr>
            <w:r>
              <w:t>Round 2</w:t>
            </w:r>
          </w:p>
        </w:tc>
        <w:tc>
          <w:tcPr>
            <w:tcW w:type="dxa" w:w="1627"/>
            <w:vAlign w:val="center"/>
            <w:tcMar>
              <w:top w:w="80" w:type="dxa"/>
              <w:bottom w:w="80" w:type="dxa"/>
              <w:left w:w="95" w:type="dxa"/>
              <w:right w:w="95" w:type="dxa"/>
            </w:tcMar>
          </w:tcPr>
          <w:p>
            <w:pPr>
              <w:pStyle w:val="TableBody"/>
              <w:keepNext w:val="0"/>
              <w:jc w:val="center"/>
            </w:pPr>
            <w:r>
              <w:t>0.00277636</w:t>
            </w:r>
          </w:p>
        </w:tc>
        <w:tc>
          <w:tcPr>
            <w:tcW w:type="dxa" w:w="1627"/>
            <w:vAlign w:val="center"/>
            <w:tcMar>
              <w:top w:w="80" w:type="dxa"/>
              <w:bottom w:w="80" w:type="dxa"/>
              <w:left w:w="95" w:type="dxa"/>
              <w:right w:w="95" w:type="dxa"/>
            </w:tcMar>
          </w:tcPr>
          <w:p>
            <w:pPr>
              <w:pStyle w:val="TableBody"/>
              <w:keepNext w:val="0"/>
              <w:jc w:val="center"/>
            </w:pPr>
            <w:r>
              <w:t>0.00277636</w:t>
            </w:r>
          </w:p>
        </w:tc>
        <w:tc>
          <w:tcPr>
            <w:tcW w:type="dxa" w:w="1627"/>
            <w:vAlign w:val="center"/>
            <w:tcMar>
              <w:top w:w="80" w:type="dxa"/>
              <w:bottom w:w="80" w:type="dxa"/>
              <w:left w:w="95" w:type="dxa"/>
              <w:right w:w="95" w:type="dxa"/>
            </w:tcMar>
          </w:tcPr>
          <w:p>
            <w:pPr>
              <w:pStyle w:val="TableBody"/>
              <w:keepNext w:val="0"/>
              <w:jc w:val="center"/>
            </w:pPr>
            <w:r>
              <w:t>0</w:t>
            </w:r>
          </w:p>
        </w:tc>
        <w:tc>
          <w:tcPr>
            <w:tcW w:type="dxa" w:w="1627"/>
            <w:vAlign w:val="center"/>
            <w:tcMar>
              <w:top w:w="80" w:type="dxa"/>
              <w:bottom w:w="80" w:type="dxa"/>
              <w:left w:w="95" w:type="dxa"/>
              <w:right w:w="95" w:type="dxa"/>
            </w:tcMar>
          </w:tcPr>
          <w:p>
            <w:pPr>
              <w:pStyle w:val="TableBody"/>
              <w:keepNext w:val="0"/>
              <w:jc w:val="center"/>
            </w:pPr>
            <w:r>
              <w:t>0</w:t>
            </w:r>
          </w:p>
        </w:tc>
        <w:tc>
          <w:tcPr>
            <w:tcW w:type="dxa" w:w="1627"/>
            <w:vAlign w:val="center"/>
            <w:tcMar>
              <w:top w:w="80" w:type="dxa"/>
              <w:bottom w:w="80" w:type="dxa"/>
              <w:left w:w="95" w:type="dxa"/>
              <w:right w:w="95" w:type="dxa"/>
            </w:tcMar>
          </w:tcPr>
          <w:p>
            <w:pPr>
              <w:pStyle w:val="TableBody"/>
              <w:keepNext w:val="0"/>
              <w:jc w:val="center"/>
            </w:pPr>
            <w:r>
              <w:t>0.00000001</w:t>
            </w:r>
          </w:p>
        </w:tc>
      </w:tr>
      <w:tr>
        <w:trPr>
          <w:cantSplit/>
        </w:trPr>
        <w:tc>
          <w:tcPr>
            <w:tcW w:type="dxa" w:w="2088"/>
            <w:vAlign w:val="center"/>
            <w:tcMar>
              <w:top w:w="80" w:type="dxa"/>
              <w:bottom w:w="80" w:type="dxa"/>
              <w:left w:w="95" w:type="dxa"/>
              <w:right w:w="95" w:type="dxa"/>
            </w:tcMar>
          </w:tcPr>
          <w:p>
            <w:pPr>
              <w:pStyle w:val="TableBody"/>
              <w:keepNext w:val="0"/>
            </w:pPr>
            <w:r>
              <w:t>Round 3</w:t>
            </w:r>
          </w:p>
        </w:tc>
        <w:tc>
          <w:tcPr>
            <w:tcW w:type="dxa" w:w="1627"/>
            <w:vAlign w:val="center"/>
            <w:tcMar>
              <w:top w:w="80" w:type="dxa"/>
              <w:bottom w:w="80" w:type="dxa"/>
              <w:left w:w="95" w:type="dxa"/>
              <w:right w:w="95" w:type="dxa"/>
            </w:tcMar>
          </w:tcPr>
          <w:p>
            <w:pPr>
              <w:pStyle w:val="TableBody"/>
              <w:keepNext w:val="0"/>
              <w:jc w:val="center"/>
            </w:pPr>
            <w:r>
              <w:t>0.00381541</w:t>
            </w:r>
          </w:p>
        </w:tc>
        <w:tc>
          <w:tcPr>
            <w:tcW w:type="dxa" w:w="1627"/>
            <w:vAlign w:val="center"/>
            <w:tcMar>
              <w:top w:w="80" w:type="dxa"/>
              <w:bottom w:w="80" w:type="dxa"/>
              <w:left w:w="95" w:type="dxa"/>
              <w:right w:w="95" w:type="dxa"/>
            </w:tcMar>
          </w:tcPr>
          <w:p>
            <w:pPr>
              <w:pStyle w:val="TableBody"/>
              <w:keepNext w:val="0"/>
              <w:jc w:val="center"/>
            </w:pPr>
            <w:r>
              <w:t>0.00381541</w:t>
            </w:r>
          </w:p>
        </w:tc>
        <w:tc>
          <w:tcPr>
            <w:tcW w:type="dxa" w:w="1627"/>
            <w:vAlign w:val="center"/>
            <w:tcMar>
              <w:top w:w="80" w:type="dxa"/>
              <w:bottom w:w="80" w:type="dxa"/>
              <w:left w:w="95" w:type="dxa"/>
              <w:right w:w="95" w:type="dxa"/>
            </w:tcMar>
          </w:tcPr>
          <w:p>
            <w:pPr>
              <w:pStyle w:val="TableBody"/>
              <w:keepNext w:val="0"/>
              <w:jc w:val="center"/>
            </w:pPr>
            <w:r>
              <w:t>0</w:t>
            </w:r>
          </w:p>
        </w:tc>
        <w:tc>
          <w:tcPr>
            <w:tcW w:type="dxa" w:w="1627"/>
            <w:vAlign w:val="center"/>
            <w:tcMar>
              <w:top w:w="80" w:type="dxa"/>
              <w:bottom w:w="80" w:type="dxa"/>
              <w:left w:w="95" w:type="dxa"/>
              <w:right w:w="95" w:type="dxa"/>
            </w:tcMar>
          </w:tcPr>
          <w:p>
            <w:pPr>
              <w:pStyle w:val="TableBody"/>
              <w:keepNext w:val="0"/>
              <w:jc w:val="center"/>
            </w:pPr>
            <w:r>
              <w:t>0</w:t>
            </w:r>
          </w:p>
        </w:tc>
        <w:tc>
          <w:tcPr>
            <w:tcW w:type="dxa" w:w="1627"/>
            <w:vAlign w:val="center"/>
            <w:tcMar>
              <w:top w:w="80" w:type="dxa"/>
              <w:bottom w:w="80" w:type="dxa"/>
              <w:left w:w="95" w:type="dxa"/>
              <w:right w:w="95" w:type="dxa"/>
            </w:tcMar>
          </w:tcPr>
          <w:p>
            <w:pPr>
              <w:pStyle w:val="TableBody"/>
              <w:keepNext w:val="0"/>
              <w:jc w:val="center"/>
            </w:pPr>
            <w:r>
              <w:t>0.00000001</w:t>
            </w:r>
          </w:p>
        </w:tc>
      </w:tr>
      <w:tr>
        <w:trPr>
          <w:cantSplit/>
        </w:trPr>
        <w:tc>
          <w:tcPr>
            <w:tcW w:type="dxa" w:w="2088"/>
            <w:vAlign w:val="center"/>
            <w:tcMar>
              <w:top w:w="80" w:type="dxa"/>
              <w:bottom w:w="80" w:type="dxa"/>
              <w:left w:w="95" w:type="dxa"/>
              <w:right w:w="95" w:type="dxa"/>
            </w:tcMar>
          </w:tcPr>
          <w:p>
            <w:pPr>
              <w:pStyle w:val="TableBody"/>
              <w:keepNext w:val="0"/>
            </w:pPr>
            <w:r>
              <w:t>Round 4</w:t>
            </w:r>
          </w:p>
        </w:tc>
        <w:tc>
          <w:tcPr>
            <w:tcW w:type="dxa" w:w="1627"/>
            <w:vAlign w:val="center"/>
            <w:tcMar>
              <w:top w:w="80" w:type="dxa"/>
              <w:bottom w:w="80" w:type="dxa"/>
              <w:left w:w="95" w:type="dxa"/>
              <w:right w:w="95" w:type="dxa"/>
            </w:tcMar>
          </w:tcPr>
          <w:p>
            <w:pPr>
              <w:pStyle w:val="TableBody"/>
              <w:keepNext w:val="0"/>
              <w:jc w:val="center"/>
            </w:pPr>
            <w:r>
              <w:t>0.00437579</w:t>
            </w:r>
          </w:p>
        </w:tc>
        <w:tc>
          <w:tcPr>
            <w:tcW w:type="dxa" w:w="1627"/>
            <w:vAlign w:val="center"/>
            <w:tcMar>
              <w:top w:w="80" w:type="dxa"/>
              <w:bottom w:w="80" w:type="dxa"/>
              <w:left w:w="95" w:type="dxa"/>
              <w:right w:w="95" w:type="dxa"/>
            </w:tcMar>
          </w:tcPr>
          <w:p>
            <w:pPr>
              <w:pStyle w:val="TableBody"/>
              <w:keepNext w:val="0"/>
              <w:jc w:val="center"/>
            </w:pPr>
            <w:r>
              <w:t>0.00437579</w:t>
            </w:r>
          </w:p>
        </w:tc>
        <w:tc>
          <w:tcPr>
            <w:tcW w:type="dxa" w:w="1627"/>
            <w:vAlign w:val="center"/>
            <w:tcMar>
              <w:top w:w="80" w:type="dxa"/>
              <w:bottom w:w="80" w:type="dxa"/>
              <w:left w:w="95" w:type="dxa"/>
              <w:right w:w="95" w:type="dxa"/>
            </w:tcMar>
          </w:tcPr>
          <w:p>
            <w:pPr>
              <w:pStyle w:val="TableBody"/>
              <w:keepNext w:val="0"/>
              <w:jc w:val="center"/>
            </w:pPr>
            <w:r>
              <w:t>0</w:t>
            </w:r>
          </w:p>
        </w:tc>
        <w:tc>
          <w:tcPr>
            <w:tcW w:type="dxa" w:w="1627"/>
            <w:vAlign w:val="center"/>
            <w:tcMar>
              <w:top w:w="80" w:type="dxa"/>
              <w:bottom w:w="80" w:type="dxa"/>
              <w:left w:w="95" w:type="dxa"/>
              <w:right w:w="95" w:type="dxa"/>
            </w:tcMar>
          </w:tcPr>
          <w:p>
            <w:pPr>
              <w:pStyle w:val="TableBody"/>
              <w:keepNext w:val="0"/>
              <w:jc w:val="center"/>
            </w:pPr>
            <w:r>
              <w:t>0</w:t>
            </w:r>
          </w:p>
        </w:tc>
        <w:tc>
          <w:tcPr>
            <w:tcW w:type="dxa" w:w="1627"/>
            <w:vAlign w:val="center"/>
            <w:tcMar>
              <w:top w:w="80" w:type="dxa"/>
              <w:bottom w:w="80" w:type="dxa"/>
              <w:left w:w="95" w:type="dxa"/>
              <w:right w:w="95" w:type="dxa"/>
            </w:tcMar>
          </w:tcPr>
          <w:p>
            <w:pPr>
              <w:pStyle w:val="TableBody"/>
              <w:keepNext w:val="0"/>
              <w:jc w:val="center"/>
            </w:pPr>
            <w:r>
              <w:t>0</w:t>
            </w:r>
          </w:p>
        </w:tc>
      </w:tr>
    </w:tbl>
    <w:p>
      <w:pPr>
        <w:spacing w:after="40" w:before="0" w:line="40" w:lineRule="exact"/>
      </w:pPr>
      <w:r>
        <w:rPr>
          <w:sz w:val="4"/>
        </w:rPr>
      </w:r>
    </w:p>
    <w:p>
      <w:pPr>
        <w:pStyle w:val="Heading1"/>
      </w:pPr>
      <w:r>
        <w:t>3 Four round procedures and conclusions</w:t>
      </w:r>
    </w:p>
    <w:p>
      <w:pPr>
        <w:pStyle w:val="Heading2"/>
      </w:pPr>
      <w:r>
        <w:t>Round 1 A claims alone</w:t>
      </w:r>
    </w:p>
    <w:p>
      <w:r>
        <w:t>Objective: verify that A's claim does not consume B's share, and record a baseline for subsequent comparisons.</w:t>
      </w:r>
    </w:p>
    <w:p>
      <w:r>
        <w:t>Mining pending at fixed baseline block 125545165 was 0.00080680 BEM. A called harvestAndClaim([1]) at block 125545984. Pending in the previous block was 0.00083930 BEM; actual transaction inflow into the Vault was 0.00084916 BEM.</w:t>
      </w:r>
    </w:p>
    <w:p>
      <w:r>
        <w:t xml:space="preserve">A received </w:t>
      </w:r>
      <w:r>
        <w:rPr>
          <w:b/>
        </w:rPr>
        <w:t>0.00042458 BEM</w:t>
      </w:r>
      <w:r>
        <w:t xml:space="preserve">; B received </w:t>
      </w:r>
      <w:r>
        <w:rPr>
          <w:b/>
        </w:rPr>
        <w:t>0</w:t>
      </w:r>
      <w:r>
        <w:t>. The Vault retained 0.00042458 BEM, entirely corresponding to #2's unclaimed entitlement; claimed(2) remained 0. A's payment event matched the BEM transfer, and the miner remained in the Vault. Conclusion: A-only claiming passed; B's unclaimed rewards were retained. Transaction T03.</w:t>
      </w:r>
    </w:p>
    <w:p>
      <w:pPr>
        <w:pStyle w:val="Heading2"/>
      </w:pPr>
      <w:r>
        <w:t>Round 2 A and B settle the same income batch</w:t>
      </w:r>
    </w:p>
    <w:p>
      <w:r>
        <w:t>Objective: verify that B can later recover the entitlement left in round 1 and that both shares have equal cumulative claims since contract creation.</w:t>
      </w:r>
    </w:p>
    <w:p>
      <w:r>
        <w:t>A harvested Mining and claimed #1 at block 125643420. B then ordinarily claimed #2 at block 125643527. A's transaction added 0.00470357 BEM; B's transaction did not harvest again or introduce new BEM inflow. Both settlements used the same cumulative-receipt cutoff.</w:t>
      </w:r>
    </w:p>
    <w:p>
      <w:r>
        <w:t xml:space="preserve">A received </w:t>
      </w:r>
      <w:r>
        <w:rPr>
          <w:b/>
        </w:rPr>
        <w:t>0.00235178 BEM</w:t>
      </w:r>
      <w:r>
        <w:t xml:space="preserve"> this round; B received </w:t>
      </w:r>
      <w:r>
        <w:rPr>
          <w:b/>
        </w:rPr>
        <w:t>0.00277636 BEM</w:t>
      </w:r>
      <w:r>
        <w:t xml:space="preserve">. B's additional 0.00042458 BEM was exactly the unclaimed portion retained from round 1. Both shares' cumulative claimed amounts became </w:t>
      </w:r>
      <w:r>
        <w:rPr>
          <w:b/>
        </w:rPr>
        <w:t>0.00277636 BEM</w:t>
      </w:r>
      <w:r>
        <w:t>, with both claimable amounts 0 and 0.00000001 BEM dust remaining in the Vault.</w:t>
      </w:r>
    </w:p>
    <w:p>
      <w:r>
        <w:t>Conclusion: fair settlement of the same received reward batch does not require simultaneous transactions. The criterion is equal cumulative entitlement, not equal amounts in every transaction or round. Transactions T04/T05.</w:t>
      </w:r>
    </w:p>
    <w:p>
      <w:pPr>
        <w:pStyle w:val="Heading2"/>
      </w:pPr>
      <w:r>
        <w:t>Round 3 owner claims after A transfers out</w:t>
      </w:r>
    </w:p>
    <w:p>
      <w:r>
        <w:t>Objective: verify that a new address can claim after receiving #1, the former holder loses claim authority, and claimed history is not reset.</w:t>
      </w:r>
    </w:p>
    <w:p>
      <w:r>
        <w:t>A transferred #1 to owner at block 125686386. Mining pending in the preceding block was 0.00206523 BEM. At that time ID 1's Vault claimable amount was 0 and its historical claimed amount 0.00277636 BEM. Transfer made no BEM payment and changed no claimed ledger.</w:t>
      </w:r>
    </w:p>
    <w:p>
      <w:r>
        <w:t xml:space="preserve">owner harvested and claimed #1 at block 125686477, with actual new receipts of 0.00207810 BEM. B then ordinarily claimed #2 at block 125686606. owner and B each received </w:t>
      </w:r>
      <w:r>
        <w:rPr>
          <w:b/>
        </w:rPr>
        <w:t>0.00103905 BEM</w:t>
      </w:r>
      <w:r>
        <w:t xml:space="preserve"> this round; A received 0.</w:t>
      </w:r>
    </w:p>
    <w:p>
      <w:r>
        <w:t xml:space="preserve">ID 1 cumulative payment = A's historical 0.00277636 + owner's 0.00103905 = </w:t>
      </w:r>
      <w:r>
        <w:rPr>
          <w:b/>
        </w:rPr>
        <w:t>0.00381541 BEM</w:t>
      </w:r>
      <w:r>
        <w:t xml:space="preserve">. ID 2 cumulative payment to B was also </w:t>
      </w:r>
      <w:r>
        <w:rPr>
          <w:b/>
        </w:rPr>
        <w:t>0.00381541 BEM</w:t>
      </w:r>
      <w:r>
        <w:t>. After transfer, A's fixed-block simulation of claiming #1 returned Unauthorized.</w:t>
      </w:r>
    </w:p>
    <w:p>
      <w:r>
        <w:t>Conclusion: the new holder can continue claiming, with a continuous historical ledger. This round covered rewards not yet harvested from Mining. Because #1's pre-transfer Vault claimable amount was 0, transfer of positive received entitlement was separately verified in round 4. Transactions T06–T08.</w:t>
      </w:r>
    </w:p>
    <w:p>
      <w:pPr>
        <w:pStyle w:val="Heading2"/>
      </w:pPr>
      <w:r>
        <w:t>Round 4 received but unclaimed entitlement returns to A with the share</w:t>
      </w:r>
    </w:p>
    <w:p>
      <w:r>
        <w:t>Objective: directly verify transfer of positive unclaimed rewards already received by the Vault with #1, followed by actual payment to the new holder.</w:t>
      </w:r>
    </w:p>
    <w:p>
      <w:r>
        <w:t xml:space="preserve">owner only harvested at block 125709696, without claiming. Actual new receipts were 0.00112075 BEM. Including 0.00000001 BEM of prior dust, the Vault balance became 0.00112076 BEM; #1 and #2 were each claimable for </w:t>
      </w:r>
      <w:r>
        <w:rPr>
          <w:b/>
        </w:rPr>
        <w:t>0.00056038 BEM</w:t>
      </w:r>
      <w:r>
        <w:t>.</w:t>
      </w:r>
    </w:p>
    <w:p>
      <w:r>
        <w:t xml:space="preserve">owner transferred #1 back to A at block 125712342. At the preceding block end and transfer block end, #1 remained claimable for </w:t>
      </w:r>
      <w:r>
        <w:rPr>
          <w:b/>
        </w:rPr>
        <w:t>0.00056038 BEM</w:t>
      </w:r>
      <w:r>
        <w:t>, and claimed(1) remained 0.00381541 BEM. The transfer receipt contained no accounting update or BEM payment.</w:t>
      </w:r>
    </w:p>
    <w:p>
      <w:r>
        <w:t xml:space="preserve">A ordinarily claimed #1 at block 125712543 and received </w:t>
      </w:r>
      <w:r>
        <w:rPr>
          <w:b/>
        </w:rPr>
        <w:t>0.00056038 BEM</w:t>
      </w:r>
      <w:r>
        <w:t>. B ordinarily claimed #2 at block 125712665 and received the same amount. Both claims synchronized 0 new receipts and shared one cumulative-receipt cutoff. After transfer, owner's fixed-block simulation of claiming #1 returned Unauthorized.</w:t>
      </w:r>
    </w:p>
    <w:p>
      <w:r>
        <w:t>Conclusion: positive received-but-unclaimed entitlement follows the NFT in full, the new holder successfully claims it, the former holder loses that share's claim authority, and historically claimed amounts are not paid again. Transactions T09–T12.</w:t>
      </w:r>
    </w:p>
    <w:p>
      <w:pPr>
        <w:pStyle w:val="Heading1"/>
      </w:pPr>
      <w:r>
        <w:t>4 Authority changes and final reconciliation</w:t>
      </w:r>
    </w:p>
    <w:p>
      <w:pPr>
        <w:pStyle w:val="Heading2"/>
      </w:pPr>
      <w:r>
        <w:t>Fixed block authority simulations</w:t>
      </w:r>
    </w:p>
    <w:p>
      <w:r>
        <w:t>These are read-only eth_call results. No failed transactions were broadcast to test rejection.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800"/>
        <w:gridCol w:w="1872"/>
        <w:gridCol w:w="1872"/>
        <w:gridCol w:w="1944"/>
      </w:tblGrid>
      <w:tr>
        <w:trPr>
          <w:cantSplit/>
          <w:tblHeader w:val="1"/>
        </w:trPr>
        <w:tc>
          <w:tcPr>
            <w:tcW w:type="dxa" w:w="2736"/>
            <w:vAlign w:val="center"/>
            <w:tcMar>
              <w:top w:w="80" w:type="dxa"/>
              <w:bottom w:w="80" w:type="dxa"/>
              <w:left w:w="95" w:type="dxa"/>
              <w:right w:w="95" w:type="dxa"/>
            </w:tcMar>
            <w:shd w:fill="EDEDED"/>
          </w:tcPr>
          <w:p>
            <w:pPr>
              <w:pStyle w:val="TableBody"/>
              <w:keepNext w:val="0"/>
            </w:pPr>
            <w:r>
              <w:rPr>
                <w:b/>
              </w:rPr>
              <w:t>Check</w:t>
            </w:r>
          </w:p>
        </w:tc>
        <w:tc>
          <w:tcPr>
            <w:tcW w:type="dxa" w:w="1800"/>
            <w:vAlign w:val="center"/>
            <w:tcMar>
              <w:top w:w="80" w:type="dxa"/>
              <w:bottom w:w="80" w:type="dxa"/>
              <w:left w:w="95" w:type="dxa"/>
              <w:right w:w="95" w:type="dxa"/>
            </w:tcMar>
            <w:shd w:fill="EDEDED"/>
          </w:tcPr>
          <w:p>
            <w:pPr>
              <w:pStyle w:val="TableBody"/>
              <w:keepNext w:val="0"/>
            </w:pPr>
            <w:r>
              <w:rPr>
                <w:b/>
              </w:rPr>
              <w:t>Block</w:t>
            </w:r>
          </w:p>
        </w:tc>
        <w:tc>
          <w:tcPr>
            <w:tcW w:type="dxa" w:w="1872"/>
            <w:vAlign w:val="center"/>
            <w:tcMar>
              <w:top w:w="80" w:type="dxa"/>
              <w:bottom w:w="80" w:type="dxa"/>
              <w:left w:w="95" w:type="dxa"/>
              <w:right w:w="95" w:type="dxa"/>
            </w:tcMar>
            <w:shd w:fill="EDEDED"/>
          </w:tcPr>
          <w:p>
            <w:pPr>
              <w:pStyle w:val="TableBody"/>
              <w:keepNext w:val="0"/>
            </w:pPr>
            <w:r>
              <w:rPr>
                <w:b/>
              </w:rPr>
              <w:t>#1 holder</w:t>
            </w:r>
          </w:p>
        </w:tc>
        <w:tc>
          <w:tcPr>
            <w:tcW w:type="dxa" w:w="1872"/>
            <w:vAlign w:val="center"/>
            <w:tcMar>
              <w:top w:w="80" w:type="dxa"/>
              <w:bottom w:w="80" w:type="dxa"/>
              <w:left w:w="95" w:type="dxa"/>
              <w:right w:w="95" w:type="dxa"/>
            </w:tcMar>
            <w:shd w:fill="EDEDED"/>
          </w:tcPr>
          <w:p>
            <w:pPr>
              <w:pStyle w:val="TableBody"/>
              <w:keepNext w:val="0"/>
            </w:pPr>
            <w:r>
              <w:rPr>
                <w:b/>
              </w:rPr>
              <w:t>Simulated caller</w:t>
            </w:r>
          </w:p>
        </w:tc>
        <w:tc>
          <w:tcPr>
            <w:tcW w:type="dxa" w:w="1944"/>
            <w:vAlign w:val="center"/>
            <w:tcMar>
              <w:top w:w="80" w:type="dxa"/>
              <w:bottom w:w="80" w:type="dxa"/>
              <w:left w:w="95" w:type="dxa"/>
              <w:right w:w="95" w:type="dxa"/>
            </w:tcMar>
            <w:shd w:fill="EDEDED"/>
          </w:tcPr>
          <w:p>
            <w:pPr>
              <w:pStyle w:val="TableBody"/>
              <w:keepNext w:val="0"/>
            </w:pPr>
            <w:r>
              <w:rPr>
                <w:b/>
              </w:rPr>
              <w:t>Result</w:t>
            </w:r>
          </w:p>
        </w:tc>
      </w:tr>
      <w:tr>
        <w:trPr>
          <w:cantSplit/>
        </w:trPr>
        <w:tc>
          <w:tcPr>
            <w:tcW w:type="dxa" w:w="2736"/>
            <w:vAlign w:val="center"/>
            <w:tcMar>
              <w:top w:w="80" w:type="dxa"/>
              <w:bottom w:w="80" w:type="dxa"/>
              <w:left w:w="95" w:type="dxa"/>
              <w:right w:w="95" w:type="dxa"/>
            </w:tcMar>
          </w:tcPr>
          <w:p>
            <w:pPr>
              <w:pStyle w:val="TableBody"/>
              <w:keepNext w:val="0"/>
            </w:pPr>
            <w:r>
              <w:t>Before round 3 transfer</w:t>
            </w:r>
          </w:p>
        </w:tc>
        <w:tc>
          <w:tcPr>
            <w:tcW w:type="dxa" w:w="1800"/>
            <w:vAlign w:val="center"/>
            <w:tcMar>
              <w:top w:w="80" w:type="dxa"/>
              <w:bottom w:w="80" w:type="dxa"/>
              <w:left w:w="95" w:type="dxa"/>
              <w:right w:w="95" w:type="dxa"/>
            </w:tcMar>
          </w:tcPr>
          <w:p>
            <w:pPr>
              <w:pStyle w:val="TableBody"/>
              <w:keepNext w:val="0"/>
              <w:jc w:val="center"/>
            </w:pPr>
            <w:r>
              <w:t>125646568</w:t>
            </w:r>
          </w:p>
        </w:tc>
        <w:tc>
          <w:tcPr>
            <w:tcW w:type="dxa" w:w="1872"/>
            <w:vAlign w:val="center"/>
            <w:tcMar>
              <w:top w:w="80" w:type="dxa"/>
              <w:bottom w:w="80" w:type="dxa"/>
              <w:left w:w="95" w:type="dxa"/>
              <w:right w:w="95" w:type="dxa"/>
            </w:tcMar>
          </w:tcPr>
          <w:p>
            <w:pPr>
              <w:pStyle w:val="TableBody"/>
              <w:keepNext w:val="0"/>
            </w:pPr>
            <w:r>
              <w:t>A</w:t>
            </w:r>
          </w:p>
        </w:tc>
        <w:tc>
          <w:tcPr>
            <w:tcW w:type="dxa" w:w="1872"/>
            <w:vAlign w:val="center"/>
            <w:tcMar>
              <w:top w:w="80" w:type="dxa"/>
              <w:bottom w:w="80" w:type="dxa"/>
              <w:left w:w="95" w:type="dxa"/>
              <w:right w:w="95" w:type="dxa"/>
            </w:tcMar>
          </w:tcPr>
          <w:p>
            <w:pPr>
              <w:pStyle w:val="TableBody"/>
              <w:keepNext w:val="0"/>
            </w:pPr>
            <w:r>
              <w:t>owner</w:t>
            </w:r>
          </w:p>
        </w:tc>
        <w:tc>
          <w:tcPr>
            <w:tcW w:type="dxa" w:w="1944"/>
            <w:vAlign w:val="center"/>
            <w:tcMar>
              <w:top w:w="80" w:type="dxa"/>
              <w:bottom w:w="80" w:type="dxa"/>
              <w:left w:w="95" w:type="dxa"/>
              <w:right w:w="95" w:type="dxa"/>
            </w:tcMar>
          </w:tcPr>
          <w:p>
            <w:pPr>
              <w:pStyle w:val="TableBody"/>
              <w:keepNext w:val="0"/>
            </w:pPr>
            <w:r>
              <w:t>Unauthorized</w:t>
            </w:r>
          </w:p>
        </w:tc>
      </w:tr>
      <w:tr>
        <w:trPr>
          <w:cantSplit/>
        </w:trPr>
        <w:tc>
          <w:tcPr>
            <w:tcW w:type="dxa" w:w="2736"/>
            <w:vAlign w:val="center"/>
            <w:tcMar>
              <w:top w:w="80" w:type="dxa"/>
              <w:bottom w:w="80" w:type="dxa"/>
              <w:left w:w="95" w:type="dxa"/>
              <w:right w:w="95" w:type="dxa"/>
            </w:tcMar>
          </w:tcPr>
          <w:p>
            <w:pPr>
              <w:pStyle w:val="TableBody"/>
              <w:keepNext w:val="0"/>
            </w:pPr>
            <w:r>
              <w:t>After round 3 transfer</w:t>
            </w:r>
          </w:p>
        </w:tc>
        <w:tc>
          <w:tcPr>
            <w:tcW w:type="dxa" w:w="1800"/>
            <w:vAlign w:val="center"/>
            <w:tcMar>
              <w:top w:w="80" w:type="dxa"/>
              <w:bottom w:w="80" w:type="dxa"/>
              <w:left w:w="95" w:type="dxa"/>
              <w:right w:w="95" w:type="dxa"/>
            </w:tcMar>
          </w:tcPr>
          <w:p>
            <w:pPr>
              <w:pStyle w:val="TableBody"/>
              <w:keepNext w:val="0"/>
              <w:jc w:val="center"/>
            </w:pPr>
            <w:r>
              <w:t>125686386</w:t>
            </w:r>
          </w:p>
        </w:tc>
        <w:tc>
          <w:tcPr>
            <w:tcW w:type="dxa" w:w="1872"/>
            <w:vAlign w:val="center"/>
            <w:tcMar>
              <w:top w:w="80" w:type="dxa"/>
              <w:bottom w:w="80" w:type="dxa"/>
              <w:left w:w="95" w:type="dxa"/>
              <w:right w:w="95" w:type="dxa"/>
            </w:tcMar>
          </w:tcPr>
          <w:p>
            <w:pPr>
              <w:pStyle w:val="TableBody"/>
              <w:keepNext w:val="0"/>
            </w:pPr>
            <w:r>
              <w:t>owner</w:t>
            </w:r>
          </w:p>
        </w:tc>
        <w:tc>
          <w:tcPr>
            <w:tcW w:type="dxa" w:w="1872"/>
            <w:vAlign w:val="center"/>
            <w:tcMar>
              <w:top w:w="80" w:type="dxa"/>
              <w:bottom w:w="80" w:type="dxa"/>
              <w:left w:w="95" w:type="dxa"/>
              <w:right w:w="95" w:type="dxa"/>
            </w:tcMar>
          </w:tcPr>
          <w:p>
            <w:pPr>
              <w:pStyle w:val="TableBody"/>
              <w:keepNext w:val="0"/>
            </w:pPr>
            <w:r>
              <w:t>A</w:t>
            </w:r>
          </w:p>
        </w:tc>
        <w:tc>
          <w:tcPr>
            <w:tcW w:type="dxa" w:w="1944"/>
            <w:vAlign w:val="center"/>
            <w:tcMar>
              <w:top w:w="80" w:type="dxa"/>
              <w:bottom w:w="80" w:type="dxa"/>
              <w:left w:w="95" w:type="dxa"/>
              <w:right w:w="95" w:type="dxa"/>
            </w:tcMar>
          </w:tcPr>
          <w:p>
            <w:pPr>
              <w:pStyle w:val="TableBody"/>
              <w:keepNext w:val="0"/>
            </w:pPr>
            <w:r>
              <w:t>Unauthorized</w:t>
            </w:r>
          </w:p>
        </w:tc>
      </w:tr>
      <w:tr>
        <w:trPr>
          <w:cantSplit/>
        </w:trPr>
        <w:tc>
          <w:tcPr>
            <w:tcW w:type="dxa" w:w="2736"/>
            <w:vAlign w:val="center"/>
            <w:tcMar>
              <w:top w:w="80" w:type="dxa"/>
              <w:bottom w:w="80" w:type="dxa"/>
              <w:left w:w="95" w:type="dxa"/>
              <w:right w:w="95" w:type="dxa"/>
            </w:tcMar>
          </w:tcPr>
          <w:p>
            <w:pPr>
              <w:pStyle w:val="TableBody"/>
              <w:keepNext w:val="0"/>
            </w:pPr>
            <w:r>
              <w:t>Before round 4 transfer</w:t>
            </w:r>
          </w:p>
        </w:tc>
        <w:tc>
          <w:tcPr>
            <w:tcW w:type="dxa" w:w="1800"/>
            <w:vAlign w:val="center"/>
            <w:tcMar>
              <w:top w:w="80" w:type="dxa"/>
              <w:bottom w:w="80" w:type="dxa"/>
              <w:left w:w="95" w:type="dxa"/>
              <w:right w:w="95" w:type="dxa"/>
            </w:tcMar>
          </w:tcPr>
          <w:p>
            <w:pPr>
              <w:pStyle w:val="TableBody"/>
              <w:keepNext w:val="0"/>
              <w:jc w:val="center"/>
            </w:pPr>
            <w:r>
              <w:t>125706961</w:t>
            </w:r>
          </w:p>
        </w:tc>
        <w:tc>
          <w:tcPr>
            <w:tcW w:type="dxa" w:w="1872"/>
            <w:vAlign w:val="center"/>
            <w:tcMar>
              <w:top w:w="80" w:type="dxa"/>
              <w:bottom w:w="80" w:type="dxa"/>
              <w:left w:w="95" w:type="dxa"/>
              <w:right w:w="95" w:type="dxa"/>
            </w:tcMar>
          </w:tcPr>
          <w:p>
            <w:pPr>
              <w:pStyle w:val="TableBody"/>
              <w:keepNext w:val="0"/>
            </w:pPr>
            <w:r>
              <w:t>owner</w:t>
            </w:r>
          </w:p>
        </w:tc>
        <w:tc>
          <w:tcPr>
            <w:tcW w:type="dxa" w:w="1872"/>
            <w:vAlign w:val="center"/>
            <w:tcMar>
              <w:top w:w="80" w:type="dxa"/>
              <w:bottom w:w="80" w:type="dxa"/>
              <w:left w:w="95" w:type="dxa"/>
              <w:right w:w="95" w:type="dxa"/>
            </w:tcMar>
          </w:tcPr>
          <w:p>
            <w:pPr>
              <w:pStyle w:val="TableBody"/>
              <w:keepNext w:val="0"/>
            </w:pPr>
            <w:r>
              <w:t>A</w:t>
            </w:r>
          </w:p>
        </w:tc>
        <w:tc>
          <w:tcPr>
            <w:tcW w:type="dxa" w:w="1944"/>
            <w:vAlign w:val="center"/>
            <w:tcMar>
              <w:top w:w="80" w:type="dxa"/>
              <w:bottom w:w="80" w:type="dxa"/>
              <w:left w:w="95" w:type="dxa"/>
              <w:right w:w="95" w:type="dxa"/>
            </w:tcMar>
          </w:tcPr>
          <w:p>
            <w:pPr>
              <w:pStyle w:val="TableBody"/>
              <w:keepNext w:val="0"/>
            </w:pPr>
            <w:r>
              <w:t>Unauthorized</w:t>
            </w:r>
          </w:p>
        </w:tc>
      </w:tr>
      <w:tr>
        <w:trPr>
          <w:cantSplit/>
        </w:trPr>
        <w:tc>
          <w:tcPr>
            <w:tcW w:type="dxa" w:w="2736"/>
            <w:vAlign w:val="center"/>
            <w:tcMar>
              <w:top w:w="80" w:type="dxa"/>
              <w:bottom w:w="80" w:type="dxa"/>
              <w:left w:w="95" w:type="dxa"/>
              <w:right w:w="95" w:type="dxa"/>
            </w:tcMar>
          </w:tcPr>
          <w:p>
            <w:pPr>
              <w:pStyle w:val="TableBody"/>
              <w:keepNext w:val="0"/>
            </w:pPr>
            <w:r>
              <w:t>After round 4 transfer</w:t>
            </w:r>
          </w:p>
        </w:tc>
        <w:tc>
          <w:tcPr>
            <w:tcW w:type="dxa" w:w="1800"/>
            <w:vAlign w:val="center"/>
            <w:tcMar>
              <w:top w:w="80" w:type="dxa"/>
              <w:bottom w:w="80" w:type="dxa"/>
              <w:left w:w="95" w:type="dxa"/>
              <w:right w:w="95" w:type="dxa"/>
            </w:tcMar>
          </w:tcPr>
          <w:p>
            <w:pPr>
              <w:pStyle w:val="TableBody"/>
              <w:keepNext w:val="0"/>
              <w:jc w:val="center"/>
            </w:pPr>
            <w:r>
              <w:t>125712342</w:t>
            </w:r>
          </w:p>
        </w:tc>
        <w:tc>
          <w:tcPr>
            <w:tcW w:type="dxa" w:w="1872"/>
            <w:vAlign w:val="center"/>
            <w:tcMar>
              <w:top w:w="80" w:type="dxa"/>
              <w:bottom w:w="80" w:type="dxa"/>
              <w:left w:w="95" w:type="dxa"/>
              <w:right w:w="95" w:type="dxa"/>
            </w:tcMar>
          </w:tcPr>
          <w:p>
            <w:pPr>
              <w:pStyle w:val="TableBody"/>
              <w:keepNext w:val="0"/>
            </w:pPr>
            <w:r>
              <w:t>A</w:t>
            </w:r>
          </w:p>
        </w:tc>
        <w:tc>
          <w:tcPr>
            <w:tcW w:type="dxa" w:w="1872"/>
            <w:vAlign w:val="center"/>
            <w:tcMar>
              <w:top w:w="80" w:type="dxa"/>
              <w:bottom w:w="80" w:type="dxa"/>
              <w:left w:w="95" w:type="dxa"/>
              <w:right w:w="95" w:type="dxa"/>
            </w:tcMar>
          </w:tcPr>
          <w:p>
            <w:pPr>
              <w:pStyle w:val="TableBody"/>
              <w:keepNext w:val="0"/>
            </w:pPr>
            <w:r>
              <w:t>owner</w:t>
            </w:r>
          </w:p>
        </w:tc>
        <w:tc>
          <w:tcPr>
            <w:tcW w:type="dxa" w:w="1944"/>
            <w:vAlign w:val="center"/>
            <w:tcMar>
              <w:top w:w="80" w:type="dxa"/>
              <w:bottom w:w="80" w:type="dxa"/>
              <w:left w:w="95" w:type="dxa"/>
              <w:right w:w="95" w:type="dxa"/>
            </w:tcMar>
          </w:tcPr>
          <w:p>
            <w:pPr>
              <w:pStyle w:val="TableBody"/>
              <w:keepNext w:val="0"/>
            </w:pPr>
            <w:r>
              <w:t>Unauthorized</w:t>
            </w:r>
          </w:p>
        </w:tc>
      </w:tr>
    </w:tbl>
    <w:p>
      <w:pPr>
        <w:spacing w:after="40" w:before="0" w:line="40" w:lineRule="exact"/>
      </w:pPr>
      <w:r>
        <w:rPr>
          <w:sz w:val="4"/>
        </w:rPr>
      </w:r>
    </w:p>
    <w:p>
      <w:r>
        <w:t>Being owner alone does not confer BEM claim authority for shares not held. Normal and emergency miner recovery are separate authority paths and must not be confused with share reward claims.</w:t>
      </w:r>
    </w:p>
    <w:p>
      <w:pPr>
        <w:pStyle w:val="Heading2"/>
      </w:pPr>
      <w:r>
        <w:t>Asset state at cutoff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val="1"/>
        </w:trPr>
        <w:tc>
          <w:tcPr>
            <w:tcW w:type="dxa" w:w="2448"/>
            <w:vAlign w:val="center"/>
            <w:tcMar>
              <w:top w:w="80" w:type="dxa"/>
              <w:bottom w:w="80" w:type="dxa"/>
              <w:left w:w="95" w:type="dxa"/>
              <w:right w:w="95" w:type="dxa"/>
            </w:tcMar>
            <w:shd w:fill="EDEDED"/>
          </w:tcPr>
          <w:p>
            <w:pPr>
              <w:pStyle w:val="TableBody"/>
              <w:keepNext w:val="0"/>
            </w:pPr>
            <w:r>
              <w:rPr>
                <w:b/>
              </w:rPr>
              <w:t>Metric</w:t>
            </w:r>
          </w:p>
        </w:tc>
        <w:tc>
          <w:tcPr>
            <w:tcW w:type="dxa" w:w="7776"/>
            <w:vAlign w:val="center"/>
            <w:tcMar>
              <w:top w:w="80" w:type="dxa"/>
              <w:bottom w:w="80" w:type="dxa"/>
              <w:left w:w="95" w:type="dxa"/>
              <w:right w:w="95" w:type="dxa"/>
            </w:tcMar>
            <w:shd w:fill="EDEDED"/>
          </w:tcPr>
          <w:p>
            <w:pPr>
              <w:pStyle w:val="TableBody"/>
              <w:keepNext w:val="0"/>
            </w:pPr>
            <w:r>
              <w:rPr>
                <w:b/>
              </w:rPr>
              <w:t>Result</w:t>
            </w:r>
          </w:p>
        </w:tc>
      </w:tr>
      <w:tr>
        <w:trPr>
          <w:cantSplit/>
        </w:trPr>
        <w:tc>
          <w:tcPr>
            <w:tcW w:type="dxa" w:w="2448"/>
            <w:vAlign w:val="center"/>
            <w:tcMar>
              <w:top w:w="80" w:type="dxa"/>
              <w:bottom w:w="80" w:type="dxa"/>
              <w:left w:w="95" w:type="dxa"/>
              <w:right w:w="95" w:type="dxa"/>
            </w:tcMar>
          </w:tcPr>
          <w:p>
            <w:pPr>
              <w:pStyle w:val="TableBody"/>
              <w:keepNext w:val="0"/>
            </w:pPr>
            <w:r>
              <w:t>Cutoff block and Beijing time</w:t>
            </w:r>
          </w:p>
        </w:tc>
        <w:tc>
          <w:tcPr>
            <w:tcW w:type="dxa" w:w="7776"/>
            <w:vAlign w:val="center"/>
            <w:tcMar>
              <w:top w:w="80" w:type="dxa"/>
              <w:bottom w:w="80" w:type="dxa"/>
              <w:left w:w="95" w:type="dxa"/>
              <w:right w:w="95" w:type="dxa"/>
            </w:tcMar>
          </w:tcPr>
          <w:p>
            <w:pPr>
              <w:pStyle w:val="TableBody"/>
              <w:keepNext w:val="0"/>
            </w:pPr>
            <w:r>
              <w:t>125712665; 2026-10-05 01:01:09</w:t>
            </w:r>
          </w:p>
        </w:tc>
      </w:tr>
      <w:tr>
        <w:trPr>
          <w:cantSplit/>
        </w:trPr>
        <w:tc>
          <w:tcPr>
            <w:tcW w:type="dxa" w:w="2448"/>
            <w:vAlign w:val="center"/>
            <w:tcMar>
              <w:top w:w="80" w:type="dxa"/>
              <w:bottom w:w="80" w:type="dxa"/>
              <w:left w:w="95" w:type="dxa"/>
              <w:right w:w="95" w:type="dxa"/>
            </w:tcMar>
          </w:tcPr>
          <w:p>
            <w:pPr>
              <w:pStyle w:val="TableBody"/>
              <w:keepNext w:val="0"/>
            </w:pPr>
            <w:r>
              <w:t>Miner #3204 ownership and Vault state</w:t>
            </w:r>
          </w:p>
        </w:tc>
        <w:tc>
          <w:tcPr>
            <w:tcW w:type="dxa" w:w="7776"/>
            <w:vAlign w:val="center"/>
            <w:tcMar>
              <w:top w:w="80" w:type="dxa"/>
              <w:bottom w:w="80" w:type="dxa"/>
              <w:left w:w="95" w:type="dxa"/>
              <w:right w:w="95" w:type="dxa"/>
            </w:tcMar>
          </w:tcPr>
          <w:p>
            <w:pPr>
              <w:pStyle w:val="TableBody"/>
              <w:keepNext w:val="0"/>
            </w:pPr>
            <w:r>
              <w:t>Held by Vault; Active</w:t>
            </w:r>
          </w:p>
        </w:tc>
      </w:tr>
      <w:tr>
        <w:trPr>
          <w:cantSplit/>
        </w:trPr>
        <w:tc>
          <w:tcPr>
            <w:tcW w:type="dxa" w:w="2448"/>
            <w:vAlign w:val="center"/>
            <w:tcMar>
              <w:top w:w="80" w:type="dxa"/>
              <w:bottom w:w="80" w:type="dxa"/>
              <w:left w:w="95" w:type="dxa"/>
              <w:right w:w="95" w:type="dxa"/>
            </w:tcMar>
          </w:tcPr>
          <w:p>
            <w:pPr>
              <w:pStyle w:val="TableBody"/>
              <w:keepNext w:val="0"/>
            </w:pPr>
            <w:r>
              <w:t>Share #1 / #2 holders</w:t>
            </w:r>
          </w:p>
        </w:tc>
        <w:tc>
          <w:tcPr>
            <w:tcW w:type="dxa" w:w="7776"/>
            <w:vAlign w:val="center"/>
            <w:tcMar>
              <w:top w:w="80" w:type="dxa"/>
              <w:bottom w:w="80" w:type="dxa"/>
              <w:left w:w="95" w:type="dxa"/>
              <w:right w:w="95" w:type="dxa"/>
            </w:tcMar>
          </w:tcPr>
          <w:p>
            <w:pPr>
              <w:pStyle w:val="TableBody"/>
              <w:keepNext w:val="0"/>
            </w:pPr>
            <w:r>
              <w:t>A / B</w:t>
            </w:r>
          </w:p>
        </w:tc>
      </w:tr>
      <w:tr>
        <w:trPr>
          <w:cantSplit/>
        </w:trPr>
        <w:tc>
          <w:tcPr>
            <w:tcW w:type="dxa" w:w="2448"/>
            <w:vAlign w:val="center"/>
            <w:tcMar>
              <w:top w:w="80" w:type="dxa"/>
              <w:bottom w:w="80" w:type="dxa"/>
              <w:left w:w="95" w:type="dxa"/>
              <w:right w:w="95" w:type="dxa"/>
            </w:tcMar>
          </w:tcPr>
          <w:p>
            <w:pPr>
              <w:pStyle w:val="TableBody"/>
              <w:keepNext w:val="0"/>
            </w:pPr>
            <w:r>
              <w:t>totalReceived / totalPaid</w:t>
            </w:r>
          </w:p>
        </w:tc>
        <w:tc>
          <w:tcPr>
            <w:tcW w:type="dxa" w:w="7776"/>
            <w:vAlign w:val="center"/>
            <w:tcMar>
              <w:top w:w="80" w:type="dxa"/>
              <w:bottom w:w="80" w:type="dxa"/>
              <w:left w:w="95" w:type="dxa"/>
              <w:right w:w="95" w:type="dxa"/>
            </w:tcMar>
          </w:tcPr>
          <w:p>
            <w:pPr>
              <w:pStyle w:val="TableBody"/>
              <w:keepNext w:val="0"/>
            </w:pPr>
            <w:r>
              <w:t>0.00875158 / 0.00875158 BEM</w:t>
            </w:r>
          </w:p>
        </w:tc>
      </w:tr>
      <w:tr>
        <w:trPr>
          <w:cantSplit/>
        </w:trPr>
        <w:tc>
          <w:tcPr>
            <w:tcW w:type="dxa" w:w="2448"/>
            <w:vAlign w:val="center"/>
            <w:tcMar>
              <w:top w:w="80" w:type="dxa"/>
              <w:bottom w:w="80" w:type="dxa"/>
              <w:left w:w="95" w:type="dxa"/>
              <w:right w:w="95" w:type="dxa"/>
            </w:tcMar>
          </w:tcPr>
          <w:p>
            <w:pPr>
              <w:pStyle w:val="TableBody"/>
              <w:keepNext w:val="0"/>
            </w:pPr>
            <w:r>
              <w:t>#1 / #2 cumulative claimed</w:t>
            </w:r>
          </w:p>
        </w:tc>
        <w:tc>
          <w:tcPr>
            <w:tcW w:type="dxa" w:w="7776"/>
            <w:vAlign w:val="center"/>
            <w:tcMar>
              <w:top w:w="80" w:type="dxa"/>
              <w:bottom w:w="80" w:type="dxa"/>
              <w:left w:w="95" w:type="dxa"/>
              <w:right w:w="95" w:type="dxa"/>
            </w:tcMar>
          </w:tcPr>
          <w:p>
            <w:pPr>
              <w:pStyle w:val="TableBody"/>
              <w:keepNext w:val="0"/>
            </w:pPr>
            <w:r>
              <w:t>0.00437579 / 0.00437579 BEM</w:t>
            </w:r>
          </w:p>
        </w:tc>
      </w:tr>
      <w:tr>
        <w:trPr>
          <w:cantSplit/>
        </w:trPr>
        <w:tc>
          <w:tcPr>
            <w:tcW w:type="dxa" w:w="2448"/>
            <w:vAlign w:val="center"/>
            <w:tcMar>
              <w:top w:w="80" w:type="dxa"/>
              <w:bottom w:w="80" w:type="dxa"/>
              <w:left w:w="95" w:type="dxa"/>
              <w:right w:w="95" w:type="dxa"/>
            </w:tcMar>
          </w:tcPr>
          <w:p>
            <w:pPr>
              <w:pStyle w:val="TableBody"/>
              <w:keepNext w:val="0"/>
            </w:pPr>
            <w:r>
              <w:t>#1 / #2 received and claimable</w:t>
            </w:r>
          </w:p>
        </w:tc>
        <w:tc>
          <w:tcPr>
            <w:tcW w:type="dxa" w:w="7776"/>
            <w:vAlign w:val="center"/>
            <w:tcMar>
              <w:top w:w="80" w:type="dxa"/>
              <w:bottom w:w="80" w:type="dxa"/>
              <w:left w:w="95" w:type="dxa"/>
              <w:right w:w="95" w:type="dxa"/>
            </w:tcMar>
          </w:tcPr>
          <w:p>
            <w:pPr>
              <w:pStyle w:val="TableBody"/>
              <w:keepNext w:val="0"/>
            </w:pPr>
            <w:r>
              <w:t>0 / 0 BEM</w:t>
            </w:r>
          </w:p>
        </w:tc>
      </w:tr>
      <w:tr>
        <w:trPr>
          <w:cantSplit/>
        </w:trPr>
        <w:tc>
          <w:tcPr>
            <w:tcW w:type="dxa" w:w="2448"/>
            <w:vAlign w:val="center"/>
            <w:tcMar>
              <w:top w:w="80" w:type="dxa"/>
              <w:bottom w:w="80" w:type="dxa"/>
              <w:left w:w="95" w:type="dxa"/>
              <w:right w:w="95" w:type="dxa"/>
            </w:tcMar>
          </w:tcPr>
          <w:p>
            <w:pPr>
              <w:pStyle w:val="TableBody"/>
              <w:keepNext w:val="0"/>
            </w:pPr>
            <w:r>
              <w:t>Vault balance / allocation remainder</w:t>
            </w:r>
          </w:p>
        </w:tc>
        <w:tc>
          <w:tcPr>
            <w:tcW w:type="dxa" w:w="7776"/>
            <w:vAlign w:val="center"/>
            <w:tcMar>
              <w:top w:w="80" w:type="dxa"/>
              <w:bottom w:w="80" w:type="dxa"/>
              <w:left w:w="95" w:type="dxa"/>
              <w:right w:w="95" w:type="dxa"/>
            </w:tcMar>
          </w:tcPr>
          <w:p>
            <w:pPr>
              <w:pStyle w:val="TableBody"/>
              <w:keepNext w:val="0"/>
            </w:pPr>
            <w:r>
              <w:t>0 / 0 BEM</w:t>
            </w:r>
          </w:p>
        </w:tc>
      </w:tr>
      <w:tr>
        <w:trPr>
          <w:cantSplit/>
        </w:trPr>
        <w:tc>
          <w:tcPr>
            <w:tcW w:type="dxa" w:w="2448"/>
            <w:vAlign w:val="center"/>
            <w:tcMar>
              <w:top w:w="80" w:type="dxa"/>
              <w:bottom w:w="80" w:type="dxa"/>
              <w:left w:w="95" w:type="dxa"/>
              <w:right w:w="95" w:type="dxa"/>
            </w:tcMar>
          </w:tcPr>
          <w:p>
            <w:pPr>
              <w:pStyle w:val="TableBody"/>
              <w:keepNext w:val="0"/>
            </w:pPr>
            <w:r>
              <w:t>Mining pending not yet harvested</w:t>
            </w:r>
          </w:p>
        </w:tc>
        <w:tc>
          <w:tcPr>
            <w:tcW w:type="dxa" w:w="7776"/>
            <w:vAlign w:val="center"/>
            <w:tcMar>
              <w:top w:w="80" w:type="dxa"/>
              <w:bottom w:w="80" w:type="dxa"/>
              <w:left w:w="95" w:type="dxa"/>
              <w:right w:w="95" w:type="dxa"/>
            </w:tcMar>
          </w:tcPr>
          <w:p>
            <w:pPr>
              <w:pStyle w:val="TableBody"/>
              <w:keepNext w:val="0"/>
            </w:pPr>
            <w:r>
              <w:rPr>
                <w:b/>
              </w:rPr>
              <w:t>0.00014315 BEM</w:t>
            </w:r>
          </w:p>
        </w:tc>
      </w:tr>
    </w:tbl>
    <w:p>
      <w:pPr>
        <w:spacing w:after="40" w:before="0" w:line="40" w:lineRule="exact"/>
      </w:pPr>
      <w:r>
        <w:rPr>
          <w:sz w:val="4"/>
        </w:rPr>
      </w:r>
    </w:p>
    <w:p>
      <w:r>
        <w:t xml:space="preserve">Conservation: 0.00333674 (A) + 0.00103905 (owner) + 0.00437579 (B) = </w:t>
      </w:r>
      <w:r>
        <w:rPr>
          <w:b/>
        </w:rPr>
        <w:t>0.00875158 BEM</w:t>
      </w:r>
      <w:r>
        <w:t>. Cumulative receipts = cumulative payments + Vault balance, difference 0.</w:t>
      </w:r>
    </w:p>
    <w:p>
      <w:r>
        <w:t xml:space="preserve">Per-share reconciliation: #1 payments to A + owner = </w:t>
      </w:r>
      <w:r>
        <w:rPr>
          <w:b/>
        </w:rPr>
        <w:t>0.00437579 BEM</w:t>
      </w:r>
      <w:r>
        <w:t xml:space="preserve">; #2 payments to B = </w:t>
      </w:r>
      <w:r>
        <w:rPr>
          <w:b/>
        </w:rPr>
        <w:t>0.00437579 BEM</w:t>
      </w:r>
      <w:r>
        <w:t>; difference 0. Reconciliation covers 7 RewardClaimed events and 7 matching BEM payments from deployment block 125537081 through 125712665.</w:t>
      </w:r>
    </w:p>
    <w:p>
      <w:r>
        <w:t>This received batch has settled within the Vault, but the 0.00014315 BEM still in Mining is not yet harvested and is excluded from cumulative receipts/payments. It is incorrect to say that all rewards have been claimed.</w:t>
      </w:r>
    </w:p>
    <w:p>
      <w:pPr>
        <w:pStyle w:val="Heading1"/>
      </w:pPr>
      <w:r>
        <w:t>5 Local engineering and simulation test summary</w:t>
      </w:r>
    </w:p>
    <w:p>
      <w:r>
        <w:t>This section is counted separately from the four mainnet rounds. Historical engineering acceptance was recorded on 2026-10-03; supplementary entitlement Mocks on 2026-10-04. Statements in historical reports that mainnet execution had not yet occurred are supplemented by later mainnet results without changing their local acceptance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376"/>
        <w:gridCol w:w="4896"/>
      </w:tblGrid>
      <w:tr>
        <w:trPr>
          <w:cantSplit/>
          <w:tblHeader w:val="1"/>
        </w:trPr>
        <w:tc>
          <w:tcPr>
            <w:tcW w:type="dxa" w:w="2952"/>
            <w:vAlign w:val="center"/>
            <w:tcMar>
              <w:top w:w="80" w:type="dxa"/>
              <w:bottom w:w="80" w:type="dxa"/>
              <w:left w:w="95" w:type="dxa"/>
              <w:right w:w="95" w:type="dxa"/>
            </w:tcMar>
            <w:shd w:fill="EDEDED"/>
          </w:tcPr>
          <w:p>
            <w:pPr>
              <w:pStyle w:val="TableBody"/>
              <w:keepNext w:val="0"/>
            </w:pPr>
            <w:r>
              <w:rPr>
                <w:b/>
              </w:rPr>
              <w:t>Verification category</w:t>
            </w:r>
          </w:p>
        </w:tc>
        <w:tc>
          <w:tcPr>
            <w:tcW w:type="dxa" w:w="2376"/>
            <w:vAlign w:val="center"/>
            <w:tcMar>
              <w:top w:w="80" w:type="dxa"/>
              <w:bottom w:w="80" w:type="dxa"/>
              <w:left w:w="95" w:type="dxa"/>
              <w:right w:w="95" w:type="dxa"/>
            </w:tcMar>
            <w:shd w:fill="EDEDED"/>
          </w:tcPr>
          <w:p>
            <w:pPr>
              <w:pStyle w:val="TableBody"/>
              <w:keepNext w:val="0"/>
            </w:pPr>
            <w:r>
              <w:rPr>
                <w:b/>
              </w:rPr>
              <w:t>Recorded result</w:t>
            </w:r>
          </w:p>
        </w:tc>
        <w:tc>
          <w:tcPr>
            <w:tcW w:type="dxa" w:w="4896"/>
            <w:vAlign w:val="center"/>
            <w:tcMar>
              <w:top w:w="80" w:type="dxa"/>
              <w:bottom w:w="80" w:type="dxa"/>
              <w:left w:w="95" w:type="dxa"/>
              <w:right w:w="95" w:type="dxa"/>
            </w:tcMar>
            <w:shd w:fill="EDEDED"/>
          </w:tcPr>
          <w:p>
            <w:pPr>
              <w:pStyle w:val="TableBody"/>
              <w:keepNext w:val="0"/>
            </w:pPr>
            <w:r>
              <w:rPr>
                <w:b/>
              </w:rPr>
              <w:t>Scope</w:t>
            </w:r>
          </w:p>
        </w:tc>
      </w:tr>
      <w:tr>
        <w:trPr>
          <w:cantSplit/>
        </w:trPr>
        <w:tc>
          <w:tcPr>
            <w:tcW w:type="dxa" w:w="2952"/>
            <w:vAlign w:val="center"/>
            <w:tcMar>
              <w:top w:w="80" w:type="dxa"/>
              <w:bottom w:w="80" w:type="dxa"/>
              <w:left w:w="95" w:type="dxa"/>
              <w:right w:w="95" w:type="dxa"/>
            </w:tcMar>
          </w:tcPr>
          <w:p>
            <w:pPr>
              <w:pStyle w:val="TableBody"/>
              <w:keepNext w:val="0"/>
            </w:pPr>
            <w:r>
              <w:t>Full local contract suite</w:t>
            </w:r>
          </w:p>
        </w:tc>
        <w:tc>
          <w:tcPr>
            <w:tcW w:type="dxa" w:w="2376"/>
            <w:vAlign w:val="center"/>
            <w:tcMar>
              <w:top w:w="80" w:type="dxa"/>
              <w:bottom w:w="80" w:type="dxa"/>
              <w:left w:w="95" w:type="dxa"/>
              <w:right w:w="95" w:type="dxa"/>
            </w:tcMar>
          </w:tcPr>
          <w:p>
            <w:pPr>
              <w:pStyle w:val="TableBody"/>
              <w:keepNext w:val="0"/>
            </w:pPr>
            <w:r>
              <w:t>Historical report: 49 passed</w:t>
            </w:r>
          </w:p>
        </w:tc>
        <w:tc>
          <w:tcPr>
            <w:tcW w:type="dxa" w:w="4896"/>
            <w:vAlign w:val="center"/>
            <w:tcMar>
              <w:top w:w="80" w:type="dxa"/>
              <w:bottom w:w="80" w:type="dxa"/>
              <w:left w:w="95" w:type="dxa"/>
              <w:right w:w="95" w:type="dxa"/>
            </w:tcMar>
          </w:tcPr>
          <w:p>
            <w:pPr>
              <w:pStyle w:val="TableBody"/>
              <w:keepNext w:val="0"/>
            </w:pPr>
            <w:r>
              <w:t>44 unit, exception, deterministic regression; 2 fuzz; 3 invariant</w:t>
            </w:r>
          </w:p>
        </w:tc>
      </w:tr>
      <w:tr>
        <w:trPr>
          <w:cantSplit/>
        </w:trPr>
        <w:tc>
          <w:tcPr>
            <w:tcW w:type="dxa" w:w="2952"/>
            <w:vAlign w:val="center"/>
            <w:tcMar>
              <w:top w:w="80" w:type="dxa"/>
              <w:bottom w:w="80" w:type="dxa"/>
              <w:left w:w="95" w:type="dxa"/>
              <w:right w:w="95" w:type="dxa"/>
            </w:tcMar>
          </w:tcPr>
          <w:p>
            <w:pPr>
              <w:pStyle w:val="TableBody"/>
              <w:keepNext w:val="0"/>
            </w:pPr>
            <w:r>
              <w:t>Scripts and frontend configuration</w:t>
            </w:r>
          </w:p>
        </w:tc>
        <w:tc>
          <w:tcPr>
            <w:tcW w:type="dxa" w:w="2376"/>
            <w:vAlign w:val="center"/>
            <w:tcMar>
              <w:top w:w="80" w:type="dxa"/>
              <w:bottom w:w="80" w:type="dxa"/>
              <w:left w:w="95" w:type="dxa"/>
              <w:right w:w="95" w:type="dxa"/>
            </w:tcMar>
          </w:tcPr>
          <w:p>
            <w:pPr>
              <w:pStyle w:val="TableBody"/>
              <w:keepNext w:val="0"/>
            </w:pPr>
            <w:r>
              <w:t>Historical report: 15 passed</w:t>
            </w:r>
          </w:p>
        </w:tc>
        <w:tc>
          <w:tcPr>
            <w:tcW w:type="dxa" w:w="4896"/>
            <w:vAlign w:val="center"/>
            <w:tcMar>
              <w:top w:w="80" w:type="dxa"/>
              <w:bottom w:w="80" w:type="dxa"/>
              <w:left w:w="95" w:type="dxa"/>
              <w:right w:w="95" w:type="dxa"/>
            </w:tcMar>
          </w:tcPr>
          <w:p>
            <w:pPr>
              <w:pStyle w:val="TableBody"/>
              <w:keepNext w:val="0"/>
            </w:pPr>
            <w:r>
              <w:t>Sending gates, RPC/fee bounds, error redaction, receipt replacement, UI configuration</w:t>
            </w:r>
          </w:p>
        </w:tc>
      </w:tr>
      <w:tr>
        <w:trPr>
          <w:cantSplit/>
        </w:trPr>
        <w:tc>
          <w:tcPr>
            <w:tcW w:type="dxa" w:w="2952"/>
            <w:vAlign w:val="center"/>
            <w:tcMar>
              <w:top w:w="80" w:type="dxa"/>
              <w:bottom w:w="80" w:type="dxa"/>
              <w:left w:w="95" w:type="dxa"/>
              <w:right w:w="95" w:type="dxa"/>
            </w:tcMar>
          </w:tcPr>
          <w:p>
            <w:pPr>
              <w:pStyle w:val="TableBody"/>
              <w:keepNext w:val="0"/>
            </w:pPr>
            <w:r>
              <w:t>Anvil workflow</w:t>
            </w:r>
          </w:p>
        </w:tc>
        <w:tc>
          <w:tcPr>
            <w:tcW w:type="dxa" w:w="2376"/>
            <w:vAlign w:val="center"/>
            <w:tcMar>
              <w:top w:w="80" w:type="dxa"/>
              <w:bottom w:w="80" w:type="dxa"/>
              <w:left w:w="95" w:type="dxa"/>
              <w:right w:w="95" w:type="dxa"/>
            </w:tcMar>
          </w:tcPr>
          <w:p>
            <w:pPr>
              <w:pStyle w:val="TableBody"/>
              <w:keepNext w:val="0"/>
            </w:pPr>
            <w:r>
              <w:t>2 scenarios passed</w:t>
            </w:r>
          </w:p>
        </w:tc>
        <w:tc>
          <w:tcPr>
            <w:tcW w:type="dxa" w:w="4896"/>
            <w:vAlign w:val="center"/>
            <w:tcMar>
              <w:top w:w="80" w:type="dxa"/>
              <w:bottom w:w="80" w:type="dxa"/>
              <w:left w:w="95" w:type="dxa"/>
              <w:right w:w="95" w:type="dxa"/>
            </w:tcMar>
          </w:tcPr>
          <w:p>
            <w:pPr>
              <w:pStyle w:val="TableBody"/>
              <w:keepNext w:val="0"/>
            </w:pPr>
            <w:r>
              <w:t>Local chain 31337; transfer, settlement, consolidated redemption, emergency recovery under failures</w:t>
            </w:r>
          </w:p>
        </w:tc>
      </w:tr>
      <w:tr>
        <w:trPr>
          <w:cantSplit/>
        </w:trPr>
        <w:tc>
          <w:tcPr>
            <w:tcW w:type="dxa" w:w="2952"/>
            <w:vAlign w:val="center"/>
            <w:tcMar>
              <w:top w:w="80" w:type="dxa"/>
              <w:bottom w:w="80" w:type="dxa"/>
              <w:left w:w="95" w:type="dxa"/>
              <w:right w:w="95" w:type="dxa"/>
            </w:tcMar>
          </w:tcPr>
          <w:p>
            <w:pPr>
              <w:pStyle w:val="TableBody"/>
              <w:keepNext w:val="0"/>
            </w:pPr>
            <w:r>
              <w:t>Stepwise CLI</w:t>
            </w:r>
          </w:p>
        </w:tc>
        <w:tc>
          <w:tcPr>
            <w:tcW w:type="dxa" w:w="2376"/>
            <w:vAlign w:val="center"/>
            <w:tcMar>
              <w:top w:w="80" w:type="dxa"/>
              <w:bottom w:w="80" w:type="dxa"/>
              <w:left w:w="95" w:type="dxa"/>
              <w:right w:w="95" w:type="dxa"/>
            </w:tcMar>
          </w:tcPr>
          <w:p>
            <w:pPr>
              <w:pStyle w:val="TableBody"/>
              <w:keepNext w:val="0"/>
            </w:pPr>
            <w:r>
              <w:t>12 passed</w:t>
            </w:r>
          </w:p>
        </w:tc>
        <w:tc>
          <w:tcPr>
            <w:tcW w:type="dxa" w:w="4896"/>
            <w:vAlign w:val="center"/>
            <w:tcMar>
              <w:top w:w="80" w:type="dxa"/>
              <w:bottom w:w="80" w:type="dxa"/>
              <w:left w:w="95" w:type="dxa"/>
              <w:right w:w="95" w:type="dxa"/>
            </w:tcMar>
          </w:tcPr>
          <w:p>
            <w:pPr>
              <w:pStyle w:val="TableBody"/>
              <w:keepNext w:val="0"/>
            </w:pPr>
            <w:r>
              <w:t>Local sending, read-only rehearsals, 2 expected rejection cases</w:t>
            </w:r>
          </w:p>
        </w:tc>
      </w:tr>
      <w:tr>
        <w:trPr>
          <w:cantSplit/>
        </w:trPr>
        <w:tc>
          <w:tcPr>
            <w:tcW w:type="dxa" w:w="2952"/>
            <w:vAlign w:val="center"/>
            <w:tcMar>
              <w:top w:w="80" w:type="dxa"/>
              <w:bottom w:w="80" w:type="dxa"/>
              <w:left w:w="95" w:type="dxa"/>
              <w:right w:w="95" w:type="dxa"/>
            </w:tcMar>
          </w:tcPr>
          <w:p>
            <w:pPr>
              <w:pStyle w:val="TableBody"/>
              <w:keepNext w:val="0"/>
            </w:pPr>
            <w:r>
              <w:t>Supplementary transfer-entitlement Mocks</w:t>
            </w:r>
          </w:p>
        </w:tc>
        <w:tc>
          <w:tcPr>
            <w:tcW w:type="dxa" w:w="2376"/>
            <w:vAlign w:val="center"/>
            <w:tcMar>
              <w:top w:w="80" w:type="dxa"/>
              <w:bottom w:w="80" w:type="dxa"/>
              <w:left w:w="95" w:type="dxa"/>
              <w:right w:w="95" w:type="dxa"/>
            </w:tcMar>
          </w:tcPr>
          <w:p>
            <w:pPr>
              <w:pStyle w:val="TableBody"/>
              <w:keepNext w:val="0"/>
            </w:pPr>
            <w:r>
              <w:t>2 passed</w:t>
            </w:r>
          </w:p>
        </w:tc>
        <w:tc>
          <w:tcPr>
            <w:tcW w:type="dxa" w:w="4896"/>
            <w:vAlign w:val="center"/>
            <w:tcMar>
              <w:top w:w="80" w:type="dxa"/>
              <w:bottom w:w="80" w:type="dxa"/>
              <w:left w:w="95" w:type="dxa"/>
              <w:right w:w="95" w:type="dxa"/>
            </w:tcMar>
          </w:tcPr>
          <w:p>
            <w:pPr>
              <w:pStyle w:val="TableBody"/>
              <w:keepNext w:val="0"/>
            </w:pPr>
            <w:r>
              <w:t>Received entitlement follows ID; claimed remains intact; new holder inherits historical entitlement</w:t>
            </w:r>
          </w:p>
        </w:tc>
      </w:tr>
      <w:tr>
        <w:trPr>
          <w:cantSplit/>
        </w:trPr>
        <w:tc>
          <w:tcPr>
            <w:tcW w:type="dxa" w:w="2952"/>
            <w:vAlign w:val="center"/>
            <w:tcMar>
              <w:top w:w="80" w:type="dxa"/>
              <w:bottom w:w="80" w:type="dxa"/>
              <w:left w:w="95" w:type="dxa"/>
              <w:right w:w="95" w:type="dxa"/>
            </w:tcMar>
          </w:tcPr>
          <w:p>
            <w:pPr>
              <w:pStyle w:val="TableBody"/>
              <w:keepNext w:val="0"/>
            </w:pPr>
            <w:r>
              <w:t>TypeScript and UI build</w:t>
            </w:r>
          </w:p>
        </w:tc>
        <w:tc>
          <w:tcPr>
            <w:tcW w:type="dxa" w:w="2376"/>
            <w:vAlign w:val="center"/>
            <w:tcMar>
              <w:top w:w="80" w:type="dxa"/>
              <w:bottom w:w="80" w:type="dxa"/>
              <w:left w:w="95" w:type="dxa"/>
              <w:right w:w="95" w:type="dxa"/>
            </w:tcMar>
          </w:tcPr>
          <w:p>
            <w:pPr>
              <w:pStyle w:val="TableBody"/>
              <w:keepNext w:val="0"/>
            </w:pPr>
            <w:r>
              <w:t>Historical report passed</w:t>
            </w:r>
          </w:p>
        </w:tc>
        <w:tc>
          <w:tcPr>
            <w:tcW w:type="dxa" w:w="4896"/>
            <w:vAlign w:val="center"/>
            <w:tcMar>
              <w:top w:w="80" w:type="dxa"/>
              <w:bottom w:w="80" w:type="dxa"/>
              <w:left w:w="95" w:type="dxa"/>
              <w:right w:w="95" w:type="dxa"/>
            </w:tcMar>
          </w:tcPr>
          <w:p>
            <w:pPr>
              <w:pStyle w:val="TableBody"/>
              <w:keepNext w:val="0"/>
            </w:pPr>
            <w:r>
              <w:t>Local production build; not deployment acceptance</w:t>
            </w:r>
          </w:p>
        </w:tc>
      </w:tr>
      <w:tr>
        <w:trPr>
          <w:cantSplit/>
        </w:trPr>
        <w:tc>
          <w:tcPr>
            <w:tcW w:type="dxa" w:w="2952"/>
            <w:vAlign w:val="center"/>
            <w:tcMar>
              <w:top w:w="80" w:type="dxa"/>
              <w:bottom w:w="80" w:type="dxa"/>
              <w:left w:w="95" w:type="dxa"/>
              <w:right w:w="95" w:type="dxa"/>
            </w:tcMar>
          </w:tcPr>
          <w:p>
            <w:pPr>
              <w:pStyle w:val="TableBody"/>
              <w:keepNext w:val="0"/>
            </w:pPr>
            <w:r>
              <w:t>UI browser chain reads</w:t>
            </w:r>
          </w:p>
        </w:tc>
        <w:tc>
          <w:tcPr>
            <w:tcW w:type="dxa" w:w="2376"/>
            <w:vAlign w:val="center"/>
            <w:tcMar>
              <w:top w:w="80" w:type="dxa"/>
              <w:bottom w:w="80" w:type="dxa"/>
              <w:left w:w="95" w:type="dxa"/>
              <w:right w:w="95" w:type="dxa"/>
            </w:tcMar>
          </w:tcPr>
          <w:p>
            <w:pPr>
              <w:pStyle w:val="TableBody"/>
              <w:keepNext w:val="0"/>
            </w:pPr>
            <w:r>
              <w:t>Historical report passed</w:t>
            </w:r>
          </w:p>
        </w:tc>
        <w:tc>
          <w:tcPr>
            <w:tcW w:type="dxa" w:w="4896"/>
            <w:vAlign w:val="center"/>
            <w:tcMar>
              <w:top w:w="80" w:type="dxa"/>
              <w:bottom w:w="80" w:type="dxa"/>
              <w:left w:w="95" w:type="dxa"/>
              <w:right w:w="95" w:type="dxa"/>
            </w:tcMar>
          </w:tcPr>
          <w:p>
            <w:pPr>
              <w:pStyle w:val="TableBody"/>
              <w:keepNext w:val="0"/>
            </w:pPr>
            <w:r>
              <w:t>Read local Mock state and disabled reasons</w:t>
            </w:r>
          </w:p>
        </w:tc>
      </w:tr>
      <w:tr>
        <w:trPr>
          <w:cantSplit/>
        </w:trPr>
        <w:tc>
          <w:tcPr>
            <w:tcW w:type="dxa" w:w="2952"/>
            <w:vAlign w:val="center"/>
            <w:tcMar>
              <w:top w:w="80" w:type="dxa"/>
              <w:bottom w:w="80" w:type="dxa"/>
              <w:left w:w="95" w:type="dxa"/>
              <w:right w:w="95" w:type="dxa"/>
            </w:tcMar>
          </w:tcPr>
          <w:p>
            <w:pPr>
              <w:pStyle w:val="TableBody"/>
              <w:keepNext w:val="0"/>
            </w:pPr>
            <w:r>
              <w:t>Mainnet claim/transfer rehearsals</w:t>
            </w:r>
          </w:p>
        </w:tc>
        <w:tc>
          <w:tcPr>
            <w:tcW w:type="dxa" w:w="2376"/>
            <w:vAlign w:val="center"/>
            <w:tcMar>
              <w:top w:w="80" w:type="dxa"/>
              <w:bottom w:w="80" w:type="dxa"/>
              <w:left w:w="95" w:type="dxa"/>
              <w:right w:w="95" w:type="dxa"/>
            </w:tcMar>
          </w:tcPr>
          <w:p>
            <w:pPr>
              <w:pStyle w:val="TableBody"/>
              <w:keepNext w:val="0"/>
            </w:pPr>
            <w:r>
              <w:t>Successful dry-run records saved</w:t>
            </w:r>
          </w:p>
        </w:tc>
        <w:tc>
          <w:tcPr>
            <w:tcW w:type="dxa" w:w="4896"/>
            <w:vAlign w:val="center"/>
            <w:tcMar>
              <w:top w:w="80" w:type="dxa"/>
              <w:bottom w:w="80" w:type="dxa"/>
              <w:left w:w="95" w:type="dxa"/>
              <w:right w:w="95" w:type="dxa"/>
            </w:tcMar>
          </w:tcPr>
          <w:p>
            <w:pPr>
              <w:pStyle w:val="TableBody"/>
              <w:keepNext w:val="0"/>
            </w:pPr>
            <w:r>
              <w:t>No broadcast; not counted as successful transactions</w:t>
            </w:r>
          </w:p>
        </w:tc>
      </w:tr>
    </w:tbl>
    <w:p>
      <w:pPr>
        <w:spacing w:after="40" w:before="0" w:line="40" w:lineRule="exact"/>
      </w:pPr>
      <w:r>
        <w:rPr>
          <w:sz w:val="4"/>
        </w:rPr>
      </w:r>
    </w:p>
    <w:p>
      <w:r>
        <w:t>Rehearsals used the latest state at each invocation. Round 2 A/B simulations were independent; B's simulation does not represent A's post-execution state. Rehearsals are not fixed-block snapshots or sequential transaction verification.</w:t>
      </w:r>
    </w:p>
    <w:p>
      <w:r>
        <w:t>Contract coverage includes: creator and fixed supply; valid/invalid deposits; equal allocation of historical/new income; independent claims and duplicate-payment prevention; transfer/authority checks; direct receipt synchronization; full-share redemption; owner's normal/emergency recovery; post-closure state; odd remainders; callback reentrancy; and atomic rollback on BEM payment/NFT transfer failure. Full test names are in the engineering-stage report.</w:t>
      </w:r>
    </w:p>
    <w:p>
      <w:r>
        <w:t>Anvil scenario 1 checked allocation of historical 100 plus new 20, entitlement transfer, consolidation of both shares, the final 1 minimum unit, and atomic redemption. Scenario 2 checked emergency miner recovery under Mining/BEM failures, then claiming received entitlement after BEM recovery. Mock tokens use their own decimals, not mainnet BEM's 8 decimals.</w:t>
      </w:r>
    </w:p>
    <w:p>
      <w:r>
        <w:t>The CLI's two exit-code-1 cases were expected rejections: --broadcast in Mock mode, and redemption without TTY confirmation. They were not failing tests. Normal redemption and owner's normal/emergency recovery in that record include dry-runs; all 12 cannot be called actual sends. Local workflows restored their snapshot and involved no live-chain transactions.</w:t>
      </w:r>
    </w:p>
    <w:p>
      <w:r>
        <w:t>Later targeted regression session records also show 4 contract regressions, 17 entitlement-report tests, and 2 summary-report tests passed. These targeted runs may overlap existing cases and are not added to the historical 49 / 15 to invent a new “total case count.” Their complete per-test logs are not included in this report's on-disk evidence index.</w:t>
      </w:r>
    </w:p>
    <w:p>
      <w:pPr>
        <w:pStyle w:val="Heading1"/>
      </w:pPr>
      <w:r>
        <w:t>6 Verification method and coverage boundaries</w:t>
      </w:r>
    </w:p>
    <w:p>
      <w:r>
        <w:t>Mainnet verification checks transaction hash, success receipt, sender, target, function/arguments, block, and transaction index. Amounts reconcile Vault RewardClaimed / Harvested / RewardsSynced against BEM Transfer. Harvested and RewardsSynced may describe the same income and cannot be added twice. Cumulative payments are further reconciled against claimed(1/2), totalPaid, totalReceived, and Vault balance.</w:t>
      </w:r>
    </w:p>
    <w:p>
      <w:r>
        <w:t>Reports save fixed-block snapshots and block hashes. Block-end snapshots differ from the exact instant of one transaction. Transfer-boundary checks also inspect transaction events, ledger continuity, and other intervening receipts. Round 4 additionally excluded new inflows after the initial harvest, ensuring both ordinary claims settled one batch.</w:t>
      </w:r>
    </w:p>
    <w:p>
      <w:r>
        <w:t>Across the four rounds, “actual inflow minus pending at the end of the previous block” was 986, 364, 1287, and 547 minimum units. These are differences between observation boundaries. The specific protocol causes remain unverified and cannot uniformly be attributed to elapsed time; some adjacent blocks even have identical second-resolution timestamps. Allocation and conclusions use actual receipts, not pending estimates.</w:t>
      </w:r>
    </w:p>
    <w:p>
      <w:pPr>
        <w:pStyle w:val="Heading2"/>
      </w:pPr>
      <w:r>
        <w:t>Mainnet or interactive checks not yet completed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val="1"/>
        </w:trPr>
        <w:tc>
          <w:tcPr>
            <w:tcW w:type="dxa" w:w="2448"/>
            <w:vAlign w:val="center"/>
            <w:tcMar>
              <w:top w:w="80" w:type="dxa"/>
              <w:bottom w:w="80" w:type="dxa"/>
              <w:left w:w="95" w:type="dxa"/>
              <w:right w:w="95" w:type="dxa"/>
            </w:tcMar>
            <w:shd w:fill="EDEDED"/>
          </w:tcPr>
          <w:p>
            <w:pPr>
              <w:pStyle w:val="TableBody"/>
              <w:keepNext w:val="0"/>
            </w:pPr>
            <w:r>
              <w:rPr>
                <w:b/>
              </w:rPr>
              <w:t>Scenario</w:t>
            </w:r>
          </w:p>
        </w:tc>
        <w:tc>
          <w:tcPr>
            <w:tcW w:type="dxa" w:w="7776"/>
            <w:vAlign w:val="center"/>
            <w:tcMar>
              <w:top w:w="80" w:type="dxa"/>
              <w:bottom w:w="80" w:type="dxa"/>
              <w:left w:w="95" w:type="dxa"/>
              <w:right w:w="95" w:type="dxa"/>
            </w:tcMar>
            <w:shd w:fill="EDEDED"/>
          </w:tcPr>
          <w:p>
            <w:pPr>
              <w:pStyle w:val="TableBody"/>
              <w:keepNext w:val="0"/>
            </w:pPr>
            <w:r>
              <w:rPr>
                <w:b/>
              </w:rPr>
              <w:t>Evidence boundary</w:t>
            </w:r>
          </w:p>
        </w:tc>
      </w:tr>
      <w:tr>
        <w:trPr>
          <w:cantSplit/>
        </w:trPr>
        <w:tc>
          <w:tcPr>
            <w:tcW w:type="dxa" w:w="2448"/>
            <w:vAlign w:val="center"/>
            <w:tcMar>
              <w:top w:w="80" w:type="dxa"/>
              <w:bottom w:w="80" w:type="dxa"/>
              <w:left w:w="95" w:type="dxa"/>
              <w:right w:w="95" w:type="dxa"/>
            </w:tcMar>
          </w:tcPr>
          <w:p>
            <w:pPr>
              <w:pStyle w:val="TableBody"/>
              <w:keepNext w:val="0"/>
            </w:pPr>
            <w:r>
              <w:t>Owner normal miner recovery</w:t>
            </w:r>
          </w:p>
        </w:tc>
        <w:tc>
          <w:tcPr>
            <w:tcW w:type="dxa" w:w="7776"/>
            <w:vAlign w:val="center"/>
            <w:tcMar>
              <w:top w:w="80" w:type="dxa"/>
              <w:bottom w:w="80" w:type="dxa"/>
              <w:left w:w="95" w:type="dxa"/>
              <w:right w:w="95" w:type="dxa"/>
            </w:tcMar>
          </w:tcPr>
          <w:p>
            <w:pPr>
              <w:pStyle w:val="TableBody"/>
              <w:keepNext w:val="0"/>
            </w:pPr>
            <w:r>
              <w:t>Locally covered; not executed on mainnet in these rounds</w:t>
            </w:r>
          </w:p>
        </w:tc>
      </w:tr>
      <w:tr>
        <w:trPr>
          <w:cantSplit/>
        </w:trPr>
        <w:tc>
          <w:tcPr>
            <w:tcW w:type="dxa" w:w="2448"/>
            <w:vAlign w:val="center"/>
            <w:tcMar>
              <w:top w:w="80" w:type="dxa"/>
              <w:bottom w:w="80" w:type="dxa"/>
              <w:left w:w="95" w:type="dxa"/>
              <w:right w:w="95" w:type="dxa"/>
            </w:tcMar>
          </w:tcPr>
          <w:p>
            <w:pPr>
              <w:pStyle w:val="TableBody"/>
              <w:keepNext w:val="0"/>
            </w:pPr>
            <w:r>
              <w:t>Owner emergency miner recovery</w:t>
            </w:r>
          </w:p>
        </w:tc>
        <w:tc>
          <w:tcPr>
            <w:tcW w:type="dxa" w:w="7776"/>
            <w:vAlign w:val="center"/>
            <w:tcMar>
              <w:top w:w="80" w:type="dxa"/>
              <w:bottom w:w="80" w:type="dxa"/>
              <w:left w:w="95" w:type="dxa"/>
              <w:right w:w="95" w:type="dxa"/>
            </w:tcMar>
          </w:tcPr>
          <w:p>
            <w:pPr>
              <w:pStyle w:val="TableBody"/>
              <w:keepNext w:val="0"/>
            </w:pPr>
            <w:r>
              <w:t>Local failure scenario covered; not executed on mainnet in these rounds</w:t>
            </w:r>
          </w:p>
        </w:tc>
      </w:tr>
      <w:tr>
        <w:trPr>
          <w:cantSplit/>
        </w:trPr>
        <w:tc>
          <w:tcPr>
            <w:tcW w:type="dxa" w:w="2448"/>
            <w:vAlign w:val="center"/>
            <w:tcMar>
              <w:top w:w="80" w:type="dxa"/>
              <w:bottom w:w="80" w:type="dxa"/>
              <w:left w:w="95" w:type="dxa"/>
              <w:right w:w="95" w:type="dxa"/>
            </w:tcMar>
          </w:tcPr>
          <w:p>
            <w:pPr>
              <w:pStyle w:val="TableBody"/>
              <w:keepNext w:val="0"/>
            </w:pPr>
            <w:r>
              <w:t>Redeem miner after collecting both shares</w:t>
            </w:r>
          </w:p>
        </w:tc>
        <w:tc>
          <w:tcPr>
            <w:tcW w:type="dxa" w:w="7776"/>
            <w:vAlign w:val="center"/>
            <w:tcMar>
              <w:top w:w="80" w:type="dxa"/>
              <w:bottom w:w="80" w:type="dxa"/>
              <w:left w:w="95" w:type="dxa"/>
              <w:right w:w="95" w:type="dxa"/>
            </w:tcMar>
          </w:tcPr>
          <w:p>
            <w:pPr>
              <w:pStyle w:val="TableBody"/>
              <w:keepNext w:val="0"/>
            </w:pPr>
            <w:r>
              <w:t>Locally covered; not executed on mainnet in these rounds</w:t>
            </w:r>
          </w:p>
        </w:tc>
      </w:tr>
      <w:tr>
        <w:trPr>
          <w:cantSplit/>
        </w:trPr>
        <w:tc>
          <w:tcPr>
            <w:tcW w:type="dxa" w:w="2448"/>
            <w:vAlign w:val="center"/>
            <w:tcMar>
              <w:top w:w="80" w:type="dxa"/>
              <w:bottom w:w="80" w:type="dxa"/>
              <w:left w:w="95" w:type="dxa"/>
              <w:right w:w="95" w:type="dxa"/>
            </w:tcMar>
          </w:tcPr>
          <w:p>
            <w:pPr>
              <w:pStyle w:val="TableBody"/>
              <w:keepNext w:val="0"/>
            </w:pPr>
            <w:r>
              <w:t>Claims after closure and failure rollback</w:t>
            </w:r>
          </w:p>
        </w:tc>
        <w:tc>
          <w:tcPr>
            <w:tcW w:type="dxa" w:w="7776"/>
            <w:vAlign w:val="center"/>
            <w:tcMar>
              <w:top w:w="80" w:type="dxa"/>
              <w:bottom w:w="80" w:type="dxa"/>
              <w:left w:w="95" w:type="dxa"/>
              <w:right w:w="95" w:type="dxa"/>
            </w:tcMar>
          </w:tcPr>
          <w:p>
            <w:pPr>
              <w:pStyle w:val="TableBody"/>
              <w:keepNext w:val="0"/>
            </w:pPr>
            <w:r>
              <w:t>Locally covered; not executed on mainnet in these rounds</w:t>
            </w:r>
          </w:p>
        </w:tc>
      </w:tr>
      <w:tr>
        <w:trPr>
          <w:cantSplit/>
        </w:trPr>
        <w:tc>
          <w:tcPr>
            <w:tcW w:type="dxa" w:w="2448"/>
            <w:vAlign w:val="center"/>
            <w:tcMar>
              <w:top w:w="80" w:type="dxa"/>
              <w:bottom w:w="80" w:type="dxa"/>
              <w:left w:w="95" w:type="dxa"/>
              <w:right w:w="95" w:type="dxa"/>
            </w:tcMar>
          </w:tcPr>
          <w:p>
            <w:pPr>
              <w:pStyle w:val="TableBody"/>
              <w:keepNext w:val="0"/>
            </w:pPr>
            <w:r>
              <w:t>Real-protocol fixed-block fork</w:t>
            </w:r>
          </w:p>
        </w:tc>
        <w:tc>
          <w:tcPr>
            <w:tcW w:type="dxa" w:w="7776"/>
            <w:vAlign w:val="center"/>
            <w:tcMar>
              <w:top w:w="80" w:type="dxa"/>
              <w:bottom w:w="80" w:type="dxa"/>
              <w:left w:w="95" w:type="dxa"/>
              <w:right w:w="95" w:type="dxa"/>
            </w:tcMar>
          </w:tcPr>
          <w:p>
            <w:pPr>
              <w:pStyle w:val="TableBody"/>
              <w:keepNext w:val="0"/>
            </w:pPr>
            <w:r>
              <w:t>Historical record: not executed; entry-point rejection for missing parameters is not a pass</w:t>
            </w:r>
          </w:p>
        </w:tc>
      </w:tr>
      <w:tr>
        <w:trPr>
          <w:cantSplit/>
        </w:trPr>
        <w:tc>
          <w:tcPr>
            <w:tcW w:type="dxa" w:w="2448"/>
            <w:vAlign w:val="center"/>
            <w:tcMar>
              <w:top w:w="80" w:type="dxa"/>
              <w:bottom w:w="80" w:type="dxa"/>
              <w:left w:w="95" w:type="dxa"/>
              <w:right w:w="95" w:type="dxa"/>
            </w:tcMar>
          </w:tcPr>
          <w:p>
            <w:pPr>
              <w:pStyle w:val="TableBody"/>
              <w:keepNext w:val="0"/>
            </w:pPr>
            <w:r>
              <w:t>Complete UI wallet signing flow</w:t>
            </w:r>
          </w:p>
        </w:tc>
        <w:tc>
          <w:tcPr>
            <w:tcW w:type="dxa" w:w="7776"/>
            <w:vAlign w:val="center"/>
            <w:tcMar>
              <w:top w:w="80" w:type="dxa"/>
              <w:bottom w:w="80" w:type="dxa"/>
              <w:left w:w="95" w:type="dxa"/>
              <w:right w:w="95" w:type="dxa"/>
            </w:tcMar>
          </w:tcPr>
          <w:p>
            <w:pPr>
              <w:pStyle w:val="TableBody"/>
              <w:keepNext w:val="0"/>
            </w:pPr>
            <w:r>
              <w:t>Not executed; successful mainnet CLI does not replace browser-wallet acceptance</w:t>
            </w:r>
          </w:p>
        </w:tc>
      </w:tr>
    </w:tbl>
    <w:p>
      <w:pPr>
        <w:spacing w:after="40" w:before="0" w:line="40" w:lineRule="exact"/>
      </w:pPr>
      <w:r>
        <w:rPr>
          <w:sz w:val="4"/>
        </w:rPr>
      </w:r>
    </w:p>
    <w:p>
      <w:r>
        <w:t>“4/4 passed” refers only to the four executed mainnet reward scenarios. The subject remains TestMinerVault. Owner miner-recovery privileges, external protocol changes, and ordinary token balance/transfer semantics remain applicability conditions. These results are not a comprehensive security audit and do not classify unexecuted paths as mainnet passes.</w:t>
      </w:r>
    </w:p>
    <w:p>
      <w:pPr>
        <w:pStyle w:val="Heading1"/>
      </w:pPr>
      <w:r>
        <w:t>7 Reusable baseline for further testing</w:t>
      </w:r>
    </w:p>
    <w:p>
      <w:r>
        <w:t xml:space="preserve">Subsequent testing should start from the ledger at cutoff block 125712665: claimed(1) = claimed(2) = </w:t>
      </w:r>
      <w:r>
        <w:rPr>
          <w:b/>
        </w:rPr>
        <w:t>437579</w:t>
      </w:r>
      <w:r>
        <w:t xml:space="preserve">, accPerShare = </w:t>
      </w:r>
      <w:r>
        <w:rPr>
          <w:b/>
        </w:rPr>
        <w:t>437579</w:t>
      </w:r>
      <w:r>
        <w:t xml:space="preserve">, totalReceived = totalPaid = </w:t>
      </w:r>
      <w:r>
        <w:rPr>
          <w:b/>
        </w:rPr>
        <w:t>875158</w:t>
      </w:r>
      <w:r>
        <w:t xml:space="preserve">, remainder = </w:t>
      </w:r>
      <w:r>
        <w:rPr>
          <w:b/>
        </w:rPr>
        <w:t>0</w:t>
      </w:r>
      <w:r>
        <w:t>; all are raw BEM integers. A holds #1, B holds #2, and the miner remains in the Vault.</w:t>
      </w:r>
    </w:p>
    <w:p>
      <w:r>
        <w:t>Before each continuation, read current chain state anew, record Mining pending, Vault balance, each share's claimed/claimable amounts, and save new receipts. To compare one income batch, fix the harvest cutoff first, then claim ordinarily for each address. If new actual receipts arrive in between, recheck the cutoff. Historical claimed amounts always persist; NFT transfer must not trigger recalculation and repayment of all historical income.</w:t>
      </w:r>
    </w:p>
    <w:p>
      <w:pPr>
        <w:pStyle w:val="Heading1"/>
      </w:pPr>
      <w:r>
        <w:t>8 Complete mainnet transaction index</w:t>
      </w:r>
    </w:p>
    <w:p>
      <w:r>
        <w:t>These are the 12 successful transactions for deployment, deposit, and the four rounds. Links point to BscScan, with full hashes retained for independent verification. Rehearsals and authority simulations are excluded.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4320"/>
        <w:gridCol w:w="1944"/>
        <w:gridCol w:w="2880"/>
      </w:tblGrid>
      <w:tr>
        <w:trPr>
          <w:cantSplit/>
          <w:tblHeader w:val="1"/>
        </w:trPr>
        <w:tc>
          <w:tcPr>
            <w:tcW w:type="dxa" w:w="1080"/>
            <w:vAlign w:val="center"/>
            <w:tcMar>
              <w:top w:w="80" w:type="dxa"/>
              <w:bottom w:w="80" w:type="dxa"/>
              <w:left w:w="95" w:type="dxa"/>
              <w:right w:w="95" w:type="dxa"/>
            </w:tcMar>
            <w:shd w:fill="EDEDED"/>
          </w:tcPr>
          <w:p>
            <w:pPr>
              <w:pStyle w:val="TableBody"/>
              <w:keepNext w:val="0"/>
            </w:pPr>
            <w:r>
              <w:rPr>
                <w:b/>
              </w:rPr>
              <w:t>Number</w:t>
            </w:r>
          </w:p>
        </w:tc>
        <w:tc>
          <w:tcPr>
            <w:tcW w:type="dxa" w:w="4320"/>
            <w:vAlign w:val="center"/>
            <w:tcMar>
              <w:top w:w="80" w:type="dxa"/>
              <w:bottom w:w="80" w:type="dxa"/>
              <w:left w:w="95" w:type="dxa"/>
              <w:right w:w="95" w:type="dxa"/>
            </w:tcMar>
            <w:shd w:fill="EDEDED"/>
          </w:tcPr>
          <w:p>
            <w:pPr>
              <w:pStyle w:val="TableBody"/>
              <w:keepNext w:val="0"/>
            </w:pPr>
            <w:r>
              <w:rPr>
                <w:b/>
              </w:rPr>
              <w:t>Operation</w:t>
            </w:r>
          </w:p>
        </w:tc>
        <w:tc>
          <w:tcPr>
            <w:tcW w:type="dxa" w:w="1944"/>
            <w:vAlign w:val="center"/>
            <w:tcMar>
              <w:top w:w="80" w:type="dxa"/>
              <w:bottom w:w="80" w:type="dxa"/>
              <w:left w:w="95" w:type="dxa"/>
              <w:right w:w="95" w:type="dxa"/>
            </w:tcMar>
            <w:shd w:fill="EDEDED"/>
          </w:tcPr>
          <w:p>
            <w:pPr>
              <w:pStyle w:val="TableBody"/>
              <w:keepNext w:val="0"/>
            </w:pPr>
            <w:r>
              <w:rPr>
                <w:b/>
              </w:rPr>
              <w:t>Block</w:t>
            </w:r>
          </w:p>
        </w:tc>
        <w:tc>
          <w:tcPr>
            <w:tcW w:type="dxa" w:w="2880"/>
            <w:vAlign w:val="center"/>
            <w:tcMar>
              <w:top w:w="80" w:type="dxa"/>
              <w:bottom w:w="80" w:type="dxa"/>
              <w:left w:w="95" w:type="dxa"/>
              <w:right w:w="95" w:type="dxa"/>
            </w:tcMar>
            <w:shd w:fill="EDEDED"/>
          </w:tcPr>
          <w:p>
            <w:pPr>
              <w:pStyle w:val="TableBody"/>
              <w:keepNext w:val="0"/>
            </w:pPr>
            <w:r>
              <w:rPr>
                <w:b/>
              </w:rPr>
              <w:t>Actual BEM paid</w:t>
            </w:r>
          </w:p>
        </w:tc>
      </w:tr>
      <w:tr>
        <w:trPr>
          <w:cantSplit/>
        </w:trPr>
        <w:tc>
          <w:tcPr>
            <w:tcW w:type="dxa" w:w="1080"/>
            <w:vAlign w:val="center"/>
            <w:tcMar>
              <w:top w:w="80" w:type="dxa"/>
              <w:bottom w:w="80" w:type="dxa"/>
              <w:left w:w="95" w:type="dxa"/>
              <w:right w:w="95" w:type="dxa"/>
            </w:tcMar>
          </w:tcPr>
          <w:p>
            <w:pPr>
              <w:pStyle w:val="TableBody"/>
              <w:keepNext w:val="0"/>
            </w:pPr>
            <w:r>
              <w:t>T01</w:t>
            </w:r>
          </w:p>
        </w:tc>
        <w:tc>
          <w:tcPr>
            <w:tcW w:type="dxa" w:w="4320"/>
            <w:vAlign w:val="center"/>
            <w:tcMar>
              <w:top w:w="80" w:type="dxa"/>
              <w:bottom w:w="80" w:type="dxa"/>
              <w:left w:w="95" w:type="dxa"/>
              <w:right w:w="95" w:type="dxa"/>
            </w:tcMar>
          </w:tcPr>
          <w:p>
            <w:pPr>
              <w:pStyle w:val="TableBody"/>
              <w:keepNext w:val="0"/>
            </w:pPr>
            <w:r>
              <w:t>Deploy Vault</w:t>
            </w:r>
          </w:p>
        </w:tc>
        <w:tc>
          <w:tcPr>
            <w:tcW w:type="dxa" w:w="1944"/>
            <w:vAlign w:val="center"/>
            <w:tcMar>
              <w:top w:w="80" w:type="dxa"/>
              <w:bottom w:w="80" w:type="dxa"/>
              <w:left w:w="95" w:type="dxa"/>
              <w:right w:w="95" w:type="dxa"/>
            </w:tcMar>
          </w:tcPr>
          <w:p>
            <w:pPr>
              <w:pStyle w:val="TableBody"/>
              <w:keepNext w:val="0"/>
              <w:jc w:val="center"/>
            </w:pPr>
            <w:r>
              <w:t>125537081</w:t>
            </w:r>
          </w:p>
        </w:tc>
        <w:tc>
          <w:tcPr>
            <w:tcW w:type="dxa" w:w="2880"/>
            <w:vAlign w:val="center"/>
            <w:tcMar>
              <w:top w:w="80" w:type="dxa"/>
              <w:bottom w:w="80" w:type="dxa"/>
              <w:left w:w="95" w:type="dxa"/>
              <w:right w:w="95" w:type="dxa"/>
            </w:tcMar>
          </w:tcPr>
          <w:p>
            <w:pPr>
              <w:pStyle w:val="TableBody"/>
              <w:keepNext w:val="0"/>
            </w:pPr>
            <w:r>
              <w:t>Not applicable</w:t>
            </w:r>
          </w:p>
        </w:tc>
      </w:tr>
      <w:tr>
        <w:trPr>
          <w:cantSplit/>
        </w:trPr>
        <w:tc>
          <w:tcPr>
            <w:tcW w:type="dxa" w:w="1080"/>
            <w:vAlign w:val="center"/>
            <w:tcMar>
              <w:top w:w="80" w:type="dxa"/>
              <w:bottom w:w="80" w:type="dxa"/>
              <w:left w:w="95" w:type="dxa"/>
              <w:right w:w="95" w:type="dxa"/>
            </w:tcMar>
          </w:tcPr>
          <w:p>
            <w:pPr>
              <w:pStyle w:val="TableBody"/>
              <w:keepNext w:val="0"/>
            </w:pPr>
            <w:r>
              <w:t>T02</w:t>
            </w:r>
          </w:p>
        </w:tc>
        <w:tc>
          <w:tcPr>
            <w:tcW w:type="dxa" w:w="4320"/>
            <w:vAlign w:val="center"/>
            <w:tcMar>
              <w:top w:w="80" w:type="dxa"/>
              <w:bottom w:w="80" w:type="dxa"/>
              <w:left w:w="95" w:type="dxa"/>
              <w:right w:w="95" w:type="dxa"/>
            </w:tcMar>
          </w:tcPr>
          <w:p>
            <w:pPr>
              <w:pStyle w:val="TableBody"/>
              <w:keepNext w:val="0"/>
            </w:pPr>
            <w:r>
              <w:t>Deposit miner #3204</w:t>
            </w:r>
          </w:p>
        </w:tc>
        <w:tc>
          <w:tcPr>
            <w:tcW w:type="dxa" w:w="1944"/>
            <w:vAlign w:val="center"/>
            <w:tcMar>
              <w:top w:w="80" w:type="dxa"/>
              <w:bottom w:w="80" w:type="dxa"/>
              <w:left w:w="95" w:type="dxa"/>
              <w:right w:w="95" w:type="dxa"/>
            </w:tcMar>
          </w:tcPr>
          <w:p>
            <w:pPr>
              <w:pStyle w:val="TableBody"/>
              <w:keepNext w:val="0"/>
              <w:jc w:val="center"/>
            </w:pPr>
            <w:r>
              <w:t>125539018</w:t>
            </w:r>
          </w:p>
        </w:tc>
        <w:tc>
          <w:tcPr>
            <w:tcW w:type="dxa" w:w="2880"/>
            <w:vAlign w:val="center"/>
            <w:tcMar>
              <w:top w:w="80" w:type="dxa"/>
              <w:bottom w:w="80" w:type="dxa"/>
              <w:left w:w="95" w:type="dxa"/>
              <w:right w:w="95" w:type="dxa"/>
            </w:tcMar>
          </w:tcPr>
          <w:p>
            <w:pPr>
              <w:pStyle w:val="TableBody"/>
              <w:keepNext w:val="0"/>
            </w:pPr>
            <w:r>
              <w:t>Not applicable</w:t>
            </w:r>
          </w:p>
        </w:tc>
      </w:tr>
      <w:tr>
        <w:trPr>
          <w:cantSplit/>
        </w:trPr>
        <w:tc>
          <w:tcPr>
            <w:tcW w:type="dxa" w:w="1080"/>
            <w:vAlign w:val="center"/>
            <w:tcMar>
              <w:top w:w="80" w:type="dxa"/>
              <w:bottom w:w="80" w:type="dxa"/>
              <w:left w:w="95" w:type="dxa"/>
              <w:right w:w="95" w:type="dxa"/>
            </w:tcMar>
          </w:tcPr>
          <w:p>
            <w:pPr>
              <w:pStyle w:val="TableBody"/>
              <w:keepNext w:val="0"/>
            </w:pPr>
            <w:r>
              <w:t>T03</w:t>
            </w:r>
          </w:p>
        </w:tc>
        <w:tc>
          <w:tcPr>
            <w:tcW w:type="dxa" w:w="4320"/>
            <w:vAlign w:val="center"/>
            <w:tcMar>
              <w:top w:w="80" w:type="dxa"/>
              <w:bottom w:w="80" w:type="dxa"/>
              <w:left w:w="95" w:type="dxa"/>
              <w:right w:w="95" w:type="dxa"/>
            </w:tcMar>
          </w:tcPr>
          <w:p>
            <w:pPr>
              <w:pStyle w:val="TableBody"/>
              <w:keepNext w:val="0"/>
            </w:pPr>
            <w:r>
              <w:t>Round 1 A harvests and claims</w:t>
            </w:r>
          </w:p>
        </w:tc>
        <w:tc>
          <w:tcPr>
            <w:tcW w:type="dxa" w:w="1944"/>
            <w:vAlign w:val="center"/>
            <w:tcMar>
              <w:top w:w="80" w:type="dxa"/>
              <w:bottom w:w="80" w:type="dxa"/>
              <w:left w:w="95" w:type="dxa"/>
              <w:right w:w="95" w:type="dxa"/>
            </w:tcMar>
          </w:tcPr>
          <w:p>
            <w:pPr>
              <w:pStyle w:val="TableBody"/>
              <w:keepNext w:val="0"/>
              <w:jc w:val="center"/>
            </w:pPr>
            <w:r>
              <w:t>125545984</w:t>
            </w:r>
          </w:p>
        </w:tc>
        <w:tc>
          <w:tcPr>
            <w:tcW w:type="dxa" w:w="2880"/>
            <w:vAlign w:val="center"/>
            <w:tcMar>
              <w:top w:w="80" w:type="dxa"/>
              <w:bottom w:w="80" w:type="dxa"/>
              <w:left w:w="95" w:type="dxa"/>
              <w:right w:w="95" w:type="dxa"/>
            </w:tcMar>
          </w:tcPr>
          <w:p>
            <w:pPr>
              <w:pStyle w:val="TableBody"/>
              <w:keepNext w:val="0"/>
            </w:pPr>
            <w:r>
              <w:t>A 0.00042458</w:t>
            </w:r>
          </w:p>
        </w:tc>
      </w:tr>
      <w:tr>
        <w:trPr>
          <w:cantSplit/>
        </w:trPr>
        <w:tc>
          <w:tcPr>
            <w:tcW w:type="dxa" w:w="1080"/>
            <w:vAlign w:val="center"/>
            <w:tcMar>
              <w:top w:w="80" w:type="dxa"/>
              <w:bottom w:w="80" w:type="dxa"/>
              <w:left w:w="95" w:type="dxa"/>
              <w:right w:w="95" w:type="dxa"/>
            </w:tcMar>
          </w:tcPr>
          <w:p>
            <w:pPr>
              <w:pStyle w:val="TableBody"/>
              <w:keepNext w:val="0"/>
            </w:pPr>
            <w:r>
              <w:t>T04</w:t>
            </w:r>
          </w:p>
        </w:tc>
        <w:tc>
          <w:tcPr>
            <w:tcW w:type="dxa" w:w="4320"/>
            <w:vAlign w:val="center"/>
            <w:tcMar>
              <w:top w:w="80" w:type="dxa"/>
              <w:bottom w:w="80" w:type="dxa"/>
              <w:left w:w="95" w:type="dxa"/>
              <w:right w:w="95" w:type="dxa"/>
            </w:tcMar>
          </w:tcPr>
          <w:p>
            <w:pPr>
              <w:pStyle w:val="TableBody"/>
              <w:keepNext w:val="0"/>
            </w:pPr>
            <w:r>
              <w:t>Round 2 A harvests and claims</w:t>
            </w:r>
          </w:p>
        </w:tc>
        <w:tc>
          <w:tcPr>
            <w:tcW w:type="dxa" w:w="1944"/>
            <w:vAlign w:val="center"/>
            <w:tcMar>
              <w:top w:w="80" w:type="dxa"/>
              <w:bottom w:w="80" w:type="dxa"/>
              <w:left w:w="95" w:type="dxa"/>
              <w:right w:w="95" w:type="dxa"/>
            </w:tcMar>
          </w:tcPr>
          <w:p>
            <w:pPr>
              <w:pStyle w:val="TableBody"/>
              <w:keepNext w:val="0"/>
              <w:jc w:val="center"/>
            </w:pPr>
            <w:r>
              <w:t>125643420</w:t>
            </w:r>
          </w:p>
        </w:tc>
        <w:tc>
          <w:tcPr>
            <w:tcW w:type="dxa" w:w="2880"/>
            <w:vAlign w:val="center"/>
            <w:tcMar>
              <w:top w:w="80" w:type="dxa"/>
              <w:bottom w:w="80" w:type="dxa"/>
              <w:left w:w="95" w:type="dxa"/>
              <w:right w:w="95" w:type="dxa"/>
            </w:tcMar>
          </w:tcPr>
          <w:p>
            <w:pPr>
              <w:pStyle w:val="TableBody"/>
              <w:keepNext w:val="0"/>
            </w:pPr>
            <w:r>
              <w:t>A 0.00235178</w:t>
            </w:r>
          </w:p>
        </w:tc>
      </w:tr>
      <w:tr>
        <w:trPr>
          <w:cantSplit/>
        </w:trPr>
        <w:tc>
          <w:tcPr>
            <w:tcW w:type="dxa" w:w="1080"/>
            <w:vAlign w:val="center"/>
            <w:tcMar>
              <w:top w:w="80" w:type="dxa"/>
              <w:bottom w:w="80" w:type="dxa"/>
              <w:left w:w="95" w:type="dxa"/>
              <w:right w:w="95" w:type="dxa"/>
            </w:tcMar>
          </w:tcPr>
          <w:p>
            <w:pPr>
              <w:pStyle w:val="TableBody"/>
              <w:keepNext w:val="0"/>
            </w:pPr>
            <w:r>
              <w:t>T05</w:t>
            </w:r>
          </w:p>
        </w:tc>
        <w:tc>
          <w:tcPr>
            <w:tcW w:type="dxa" w:w="4320"/>
            <w:vAlign w:val="center"/>
            <w:tcMar>
              <w:top w:w="80" w:type="dxa"/>
              <w:bottom w:w="80" w:type="dxa"/>
              <w:left w:w="95" w:type="dxa"/>
              <w:right w:w="95" w:type="dxa"/>
            </w:tcMar>
          </w:tcPr>
          <w:p>
            <w:pPr>
              <w:pStyle w:val="TableBody"/>
              <w:keepNext w:val="0"/>
            </w:pPr>
            <w:r>
              <w:t>Round 2 B ordinary claim</w:t>
            </w:r>
          </w:p>
        </w:tc>
        <w:tc>
          <w:tcPr>
            <w:tcW w:type="dxa" w:w="1944"/>
            <w:vAlign w:val="center"/>
            <w:tcMar>
              <w:top w:w="80" w:type="dxa"/>
              <w:bottom w:w="80" w:type="dxa"/>
              <w:left w:w="95" w:type="dxa"/>
              <w:right w:w="95" w:type="dxa"/>
            </w:tcMar>
          </w:tcPr>
          <w:p>
            <w:pPr>
              <w:pStyle w:val="TableBody"/>
              <w:keepNext w:val="0"/>
              <w:jc w:val="center"/>
            </w:pPr>
            <w:r>
              <w:t>125643527</w:t>
            </w:r>
          </w:p>
        </w:tc>
        <w:tc>
          <w:tcPr>
            <w:tcW w:type="dxa" w:w="2880"/>
            <w:vAlign w:val="center"/>
            <w:tcMar>
              <w:top w:w="80" w:type="dxa"/>
              <w:bottom w:w="80" w:type="dxa"/>
              <w:left w:w="95" w:type="dxa"/>
              <w:right w:w="95" w:type="dxa"/>
            </w:tcMar>
          </w:tcPr>
          <w:p>
            <w:pPr>
              <w:pStyle w:val="TableBody"/>
              <w:keepNext w:val="0"/>
            </w:pPr>
            <w:r>
              <w:t>B 0.00277636</w:t>
            </w:r>
          </w:p>
        </w:tc>
      </w:tr>
      <w:tr>
        <w:trPr>
          <w:cantSplit/>
        </w:trPr>
        <w:tc>
          <w:tcPr>
            <w:tcW w:type="dxa" w:w="1080"/>
            <w:vAlign w:val="center"/>
            <w:tcMar>
              <w:top w:w="80" w:type="dxa"/>
              <w:bottom w:w="80" w:type="dxa"/>
              <w:left w:w="95" w:type="dxa"/>
              <w:right w:w="95" w:type="dxa"/>
            </w:tcMar>
          </w:tcPr>
          <w:p>
            <w:pPr>
              <w:pStyle w:val="TableBody"/>
              <w:keepNext w:val="0"/>
            </w:pPr>
            <w:r>
              <w:t>T06</w:t>
            </w:r>
          </w:p>
        </w:tc>
        <w:tc>
          <w:tcPr>
            <w:tcW w:type="dxa" w:w="4320"/>
            <w:vAlign w:val="center"/>
            <w:tcMar>
              <w:top w:w="80" w:type="dxa"/>
              <w:bottom w:w="80" w:type="dxa"/>
              <w:left w:w="95" w:type="dxa"/>
              <w:right w:w="95" w:type="dxa"/>
            </w:tcMar>
          </w:tcPr>
          <w:p>
            <w:pPr>
              <w:pStyle w:val="TableBody"/>
              <w:keepNext w:val="0"/>
            </w:pPr>
            <w:r>
              <w:t>Round 3 A transfers #1 to owner</w:t>
            </w:r>
          </w:p>
        </w:tc>
        <w:tc>
          <w:tcPr>
            <w:tcW w:type="dxa" w:w="1944"/>
            <w:vAlign w:val="center"/>
            <w:tcMar>
              <w:top w:w="80" w:type="dxa"/>
              <w:bottom w:w="80" w:type="dxa"/>
              <w:left w:w="95" w:type="dxa"/>
              <w:right w:w="95" w:type="dxa"/>
            </w:tcMar>
          </w:tcPr>
          <w:p>
            <w:pPr>
              <w:pStyle w:val="TableBody"/>
              <w:keepNext w:val="0"/>
              <w:jc w:val="center"/>
            </w:pPr>
            <w:r>
              <w:t>125686386</w:t>
            </w:r>
          </w:p>
        </w:tc>
        <w:tc>
          <w:tcPr>
            <w:tcW w:type="dxa" w:w="2880"/>
            <w:vAlign w:val="center"/>
            <w:tcMar>
              <w:top w:w="80" w:type="dxa"/>
              <w:bottom w:w="80" w:type="dxa"/>
              <w:left w:w="95" w:type="dxa"/>
              <w:right w:w="95" w:type="dxa"/>
            </w:tcMar>
          </w:tcPr>
          <w:p>
            <w:pPr>
              <w:pStyle w:val="TableBody"/>
              <w:keepNext w:val="0"/>
              <w:jc w:val="center"/>
            </w:pPr>
            <w:r>
              <w:t>0</w:t>
            </w:r>
          </w:p>
        </w:tc>
      </w:tr>
      <w:tr>
        <w:trPr>
          <w:cantSplit/>
        </w:trPr>
        <w:tc>
          <w:tcPr>
            <w:tcW w:type="dxa" w:w="1080"/>
            <w:vAlign w:val="center"/>
            <w:tcMar>
              <w:top w:w="80" w:type="dxa"/>
              <w:bottom w:w="80" w:type="dxa"/>
              <w:left w:w="95" w:type="dxa"/>
              <w:right w:w="95" w:type="dxa"/>
            </w:tcMar>
          </w:tcPr>
          <w:p>
            <w:pPr>
              <w:pStyle w:val="TableBody"/>
              <w:keepNext w:val="0"/>
            </w:pPr>
            <w:r>
              <w:t>T07</w:t>
            </w:r>
          </w:p>
        </w:tc>
        <w:tc>
          <w:tcPr>
            <w:tcW w:type="dxa" w:w="4320"/>
            <w:vAlign w:val="center"/>
            <w:tcMar>
              <w:top w:w="80" w:type="dxa"/>
              <w:bottom w:w="80" w:type="dxa"/>
              <w:left w:w="95" w:type="dxa"/>
              <w:right w:w="95" w:type="dxa"/>
            </w:tcMar>
          </w:tcPr>
          <w:p>
            <w:pPr>
              <w:pStyle w:val="TableBody"/>
              <w:keepNext w:val="0"/>
            </w:pPr>
            <w:r>
              <w:t>Round 3 owner harvests and claims</w:t>
            </w:r>
          </w:p>
        </w:tc>
        <w:tc>
          <w:tcPr>
            <w:tcW w:type="dxa" w:w="1944"/>
            <w:vAlign w:val="center"/>
            <w:tcMar>
              <w:top w:w="80" w:type="dxa"/>
              <w:bottom w:w="80" w:type="dxa"/>
              <w:left w:w="95" w:type="dxa"/>
              <w:right w:w="95" w:type="dxa"/>
            </w:tcMar>
          </w:tcPr>
          <w:p>
            <w:pPr>
              <w:pStyle w:val="TableBody"/>
              <w:keepNext w:val="0"/>
              <w:jc w:val="center"/>
            </w:pPr>
            <w:r>
              <w:t>125686477</w:t>
            </w:r>
          </w:p>
        </w:tc>
        <w:tc>
          <w:tcPr>
            <w:tcW w:type="dxa" w:w="2880"/>
            <w:vAlign w:val="center"/>
            <w:tcMar>
              <w:top w:w="80" w:type="dxa"/>
              <w:bottom w:w="80" w:type="dxa"/>
              <w:left w:w="95" w:type="dxa"/>
              <w:right w:w="95" w:type="dxa"/>
            </w:tcMar>
          </w:tcPr>
          <w:p>
            <w:pPr>
              <w:pStyle w:val="TableBody"/>
              <w:keepNext w:val="0"/>
            </w:pPr>
            <w:r>
              <w:t>owner 0.00103905</w:t>
            </w:r>
          </w:p>
        </w:tc>
      </w:tr>
      <w:tr>
        <w:trPr>
          <w:cantSplit/>
        </w:trPr>
        <w:tc>
          <w:tcPr>
            <w:tcW w:type="dxa" w:w="1080"/>
            <w:vAlign w:val="center"/>
            <w:tcMar>
              <w:top w:w="80" w:type="dxa"/>
              <w:bottom w:w="80" w:type="dxa"/>
              <w:left w:w="95" w:type="dxa"/>
              <w:right w:w="95" w:type="dxa"/>
            </w:tcMar>
          </w:tcPr>
          <w:p>
            <w:pPr>
              <w:pStyle w:val="TableBody"/>
              <w:keepNext w:val="0"/>
            </w:pPr>
            <w:r>
              <w:t>T08</w:t>
            </w:r>
          </w:p>
        </w:tc>
        <w:tc>
          <w:tcPr>
            <w:tcW w:type="dxa" w:w="4320"/>
            <w:vAlign w:val="center"/>
            <w:tcMar>
              <w:top w:w="80" w:type="dxa"/>
              <w:bottom w:w="80" w:type="dxa"/>
              <w:left w:w="95" w:type="dxa"/>
              <w:right w:w="95" w:type="dxa"/>
            </w:tcMar>
          </w:tcPr>
          <w:p>
            <w:pPr>
              <w:pStyle w:val="TableBody"/>
              <w:keepNext w:val="0"/>
            </w:pPr>
            <w:r>
              <w:t>Round 3 B ordinary claim</w:t>
            </w:r>
          </w:p>
        </w:tc>
        <w:tc>
          <w:tcPr>
            <w:tcW w:type="dxa" w:w="1944"/>
            <w:vAlign w:val="center"/>
            <w:tcMar>
              <w:top w:w="80" w:type="dxa"/>
              <w:bottom w:w="80" w:type="dxa"/>
              <w:left w:w="95" w:type="dxa"/>
              <w:right w:w="95" w:type="dxa"/>
            </w:tcMar>
          </w:tcPr>
          <w:p>
            <w:pPr>
              <w:pStyle w:val="TableBody"/>
              <w:keepNext w:val="0"/>
              <w:jc w:val="center"/>
            </w:pPr>
            <w:r>
              <w:t>125686606</w:t>
            </w:r>
          </w:p>
        </w:tc>
        <w:tc>
          <w:tcPr>
            <w:tcW w:type="dxa" w:w="2880"/>
            <w:vAlign w:val="center"/>
            <w:tcMar>
              <w:top w:w="80" w:type="dxa"/>
              <w:bottom w:w="80" w:type="dxa"/>
              <w:left w:w="95" w:type="dxa"/>
              <w:right w:w="95" w:type="dxa"/>
            </w:tcMar>
          </w:tcPr>
          <w:p>
            <w:pPr>
              <w:pStyle w:val="TableBody"/>
              <w:keepNext w:val="0"/>
            </w:pPr>
            <w:r>
              <w:t>B 0.00103905</w:t>
            </w:r>
          </w:p>
        </w:tc>
      </w:tr>
      <w:tr>
        <w:trPr>
          <w:cantSplit/>
        </w:trPr>
        <w:tc>
          <w:tcPr>
            <w:tcW w:type="dxa" w:w="1080"/>
            <w:vAlign w:val="center"/>
            <w:tcMar>
              <w:top w:w="80" w:type="dxa"/>
              <w:bottom w:w="80" w:type="dxa"/>
              <w:left w:w="95" w:type="dxa"/>
              <w:right w:w="95" w:type="dxa"/>
            </w:tcMar>
          </w:tcPr>
          <w:p>
            <w:pPr>
              <w:pStyle w:val="TableBody"/>
              <w:keepNext w:val="0"/>
            </w:pPr>
            <w:r>
              <w:t>T09</w:t>
            </w:r>
          </w:p>
        </w:tc>
        <w:tc>
          <w:tcPr>
            <w:tcW w:type="dxa" w:w="4320"/>
            <w:vAlign w:val="center"/>
            <w:tcMar>
              <w:top w:w="80" w:type="dxa"/>
              <w:bottom w:w="80" w:type="dxa"/>
              <w:left w:w="95" w:type="dxa"/>
              <w:right w:w="95" w:type="dxa"/>
            </w:tcMar>
          </w:tcPr>
          <w:p>
            <w:pPr>
              <w:pStyle w:val="TableBody"/>
              <w:keepNext w:val="0"/>
            </w:pPr>
            <w:r>
              <w:t>Round 4 owner harvests only</w:t>
            </w:r>
          </w:p>
        </w:tc>
        <w:tc>
          <w:tcPr>
            <w:tcW w:type="dxa" w:w="1944"/>
            <w:vAlign w:val="center"/>
            <w:tcMar>
              <w:top w:w="80" w:type="dxa"/>
              <w:bottom w:w="80" w:type="dxa"/>
              <w:left w:w="95" w:type="dxa"/>
              <w:right w:w="95" w:type="dxa"/>
            </w:tcMar>
          </w:tcPr>
          <w:p>
            <w:pPr>
              <w:pStyle w:val="TableBody"/>
              <w:keepNext w:val="0"/>
              <w:jc w:val="center"/>
            </w:pPr>
            <w:r>
              <w:t>125709696</w:t>
            </w:r>
          </w:p>
        </w:tc>
        <w:tc>
          <w:tcPr>
            <w:tcW w:type="dxa" w:w="2880"/>
            <w:vAlign w:val="center"/>
            <w:tcMar>
              <w:top w:w="80" w:type="dxa"/>
              <w:bottom w:w="80" w:type="dxa"/>
              <w:left w:w="95" w:type="dxa"/>
              <w:right w:w="95" w:type="dxa"/>
            </w:tcMar>
          </w:tcPr>
          <w:p>
            <w:pPr>
              <w:pStyle w:val="TableBody"/>
              <w:keepNext w:val="0"/>
              <w:jc w:val="center"/>
            </w:pPr>
            <w:r>
              <w:t>0</w:t>
            </w:r>
          </w:p>
        </w:tc>
      </w:tr>
      <w:tr>
        <w:trPr>
          <w:cantSplit/>
        </w:trPr>
        <w:tc>
          <w:tcPr>
            <w:tcW w:type="dxa" w:w="1080"/>
            <w:vAlign w:val="center"/>
            <w:tcMar>
              <w:top w:w="80" w:type="dxa"/>
              <w:bottom w:w="80" w:type="dxa"/>
              <w:left w:w="95" w:type="dxa"/>
              <w:right w:w="95" w:type="dxa"/>
            </w:tcMar>
          </w:tcPr>
          <w:p>
            <w:pPr>
              <w:pStyle w:val="TableBody"/>
              <w:keepNext w:val="0"/>
            </w:pPr>
            <w:r>
              <w:t>T10</w:t>
            </w:r>
          </w:p>
        </w:tc>
        <w:tc>
          <w:tcPr>
            <w:tcW w:type="dxa" w:w="4320"/>
            <w:vAlign w:val="center"/>
            <w:tcMar>
              <w:top w:w="80" w:type="dxa"/>
              <w:bottom w:w="80" w:type="dxa"/>
              <w:left w:w="95" w:type="dxa"/>
              <w:right w:w="95" w:type="dxa"/>
            </w:tcMar>
          </w:tcPr>
          <w:p>
            <w:pPr>
              <w:pStyle w:val="TableBody"/>
              <w:keepNext w:val="0"/>
            </w:pPr>
            <w:r>
              <w:t>Round 4 owner transfers #1 to A</w:t>
            </w:r>
          </w:p>
        </w:tc>
        <w:tc>
          <w:tcPr>
            <w:tcW w:type="dxa" w:w="1944"/>
            <w:vAlign w:val="center"/>
            <w:tcMar>
              <w:top w:w="80" w:type="dxa"/>
              <w:bottom w:w="80" w:type="dxa"/>
              <w:left w:w="95" w:type="dxa"/>
              <w:right w:w="95" w:type="dxa"/>
            </w:tcMar>
          </w:tcPr>
          <w:p>
            <w:pPr>
              <w:pStyle w:val="TableBody"/>
              <w:keepNext w:val="0"/>
              <w:jc w:val="center"/>
            </w:pPr>
            <w:r>
              <w:t>125712342</w:t>
            </w:r>
          </w:p>
        </w:tc>
        <w:tc>
          <w:tcPr>
            <w:tcW w:type="dxa" w:w="2880"/>
            <w:vAlign w:val="center"/>
            <w:tcMar>
              <w:top w:w="80" w:type="dxa"/>
              <w:bottom w:w="80" w:type="dxa"/>
              <w:left w:w="95" w:type="dxa"/>
              <w:right w:w="95" w:type="dxa"/>
            </w:tcMar>
          </w:tcPr>
          <w:p>
            <w:pPr>
              <w:pStyle w:val="TableBody"/>
              <w:keepNext w:val="0"/>
              <w:jc w:val="center"/>
            </w:pPr>
            <w:r>
              <w:t>0</w:t>
            </w:r>
          </w:p>
        </w:tc>
      </w:tr>
      <w:tr>
        <w:trPr>
          <w:cantSplit/>
        </w:trPr>
        <w:tc>
          <w:tcPr>
            <w:tcW w:type="dxa" w:w="1080"/>
            <w:vAlign w:val="center"/>
            <w:tcMar>
              <w:top w:w="80" w:type="dxa"/>
              <w:bottom w:w="80" w:type="dxa"/>
              <w:left w:w="95" w:type="dxa"/>
              <w:right w:w="95" w:type="dxa"/>
            </w:tcMar>
          </w:tcPr>
          <w:p>
            <w:pPr>
              <w:pStyle w:val="TableBody"/>
              <w:keepNext w:val="0"/>
            </w:pPr>
            <w:r>
              <w:t>T11</w:t>
            </w:r>
          </w:p>
        </w:tc>
        <w:tc>
          <w:tcPr>
            <w:tcW w:type="dxa" w:w="4320"/>
            <w:vAlign w:val="center"/>
            <w:tcMar>
              <w:top w:w="80" w:type="dxa"/>
              <w:bottom w:w="80" w:type="dxa"/>
              <w:left w:w="95" w:type="dxa"/>
              <w:right w:w="95" w:type="dxa"/>
            </w:tcMar>
          </w:tcPr>
          <w:p>
            <w:pPr>
              <w:pStyle w:val="TableBody"/>
              <w:keepNext w:val="0"/>
            </w:pPr>
            <w:r>
              <w:t>Round 4 A ordinary claim</w:t>
            </w:r>
          </w:p>
        </w:tc>
        <w:tc>
          <w:tcPr>
            <w:tcW w:type="dxa" w:w="1944"/>
            <w:vAlign w:val="center"/>
            <w:tcMar>
              <w:top w:w="80" w:type="dxa"/>
              <w:bottom w:w="80" w:type="dxa"/>
              <w:left w:w="95" w:type="dxa"/>
              <w:right w:w="95" w:type="dxa"/>
            </w:tcMar>
          </w:tcPr>
          <w:p>
            <w:pPr>
              <w:pStyle w:val="TableBody"/>
              <w:keepNext w:val="0"/>
              <w:jc w:val="center"/>
            </w:pPr>
            <w:r>
              <w:t>125712543</w:t>
            </w:r>
          </w:p>
        </w:tc>
        <w:tc>
          <w:tcPr>
            <w:tcW w:type="dxa" w:w="2880"/>
            <w:vAlign w:val="center"/>
            <w:tcMar>
              <w:top w:w="80" w:type="dxa"/>
              <w:bottom w:w="80" w:type="dxa"/>
              <w:left w:w="95" w:type="dxa"/>
              <w:right w:w="95" w:type="dxa"/>
            </w:tcMar>
          </w:tcPr>
          <w:p>
            <w:pPr>
              <w:pStyle w:val="TableBody"/>
              <w:keepNext w:val="0"/>
            </w:pPr>
            <w:r>
              <w:t>A 0.00056038</w:t>
            </w:r>
          </w:p>
        </w:tc>
      </w:tr>
      <w:tr>
        <w:trPr>
          <w:cantSplit/>
        </w:trPr>
        <w:tc>
          <w:tcPr>
            <w:tcW w:type="dxa" w:w="1080"/>
            <w:vAlign w:val="center"/>
            <w:tcMar>
              <w:top w:w="80" w:type="dxa"/>
              <w:bottom w:w="80" w:type="dxa"/>
              <w:left w:w="95" w:type="dxa"/>
              <w:right w:w="95" w:type="dxa"/>
            </w:tcMar>
          </w:tcPr>
          <w:p>
            <w:pPr>
              <w:pStyle w:val="TableBody"/>
              <w:keepNext w:val="0"/>
            </w:pPr>
            <w:r>
              <w:t>T12</w:t>
            </w:r>
          </w:p>
        </w:tc>
        <w:tc>
          <w:tcPr>
            <w:tcW w:type="dxa" w:w="4320"/>
            <w:vAlign w:val="center"/>
            <w:tcMar>
              <w:top w:w="80" w:type="dxa"/>
              <w:bottom w:w="80" w:type="dxa"/>
              <w:left w:w="95" w:type="dxa"/>
              <w:right w:w="95" w:type="dxa"/>
            </w:tcMar>
          </w:tcPr>
          <w:p>
            <w:pPr>
              <w:pStyle w:val="TableBody"/>
              <w:keepNext w:val="0"/>
            </w:pPr>
            <w:r>
              <w:t>Round 4 B ordinary claim</w:t>
            </w:r>
          </w:p>
        </w:tc>
        <w:tc>
          <w:tcPr>
            <w:tcW w:type="dxa" w:w="1944"/>
            <w:vAlign w:val="center"/>
            <w:tcMar>
              <w:top w:w="80" w:type="dxa"/>
              <w:bottom w:w="80" w:type="dxa"/>
              <w:left w:w="95" w:type="dxa"/>
              <w:right w:w="95" w:type="dxa"/>
            </w:tcMar>
          </w:tcPr>
          <w:p>
            <w:pPr>
              <w:pStyle w:val="TableBody"/>
              <w:keepNext w:val="0"/>
              <w:jc w:val="center"/>
            </w:pPr>
            <w:r>
              <w:t>125712665</w:t>
            </w:r>
          </w:p>
        </w:tc>
        <w:tc>
          <w:tcPr>
            <w:tcW w:type="dxa" w:w="2880"/>
            <w:vAlign w:val="center"/>
            <w:tcMar>
              <w:top w:w="80" w:type="dxa"/>
              <w:bottom w:w="80" w:type="dxa"/>
              <w:left w:w="95" w:type="dxa"/>
              <w:right w:w="95" w:type="dxa"/>
            </w:tcMar>
          </w:tcPr>
          <w:p>
            <w:pPr>
              <w:pStyle w:val="TableBody"/>
              <w:keepNext w:val="0"/>
            </w:pPr>
            <w:r>
              <w:t>B 0.00056038</w:t>
            </w:r>
          </w:p>
        </w:tc>
      </w:tr>
    </w:tbl>
    <w:p>
      <w:pPr>
        <w:spacing w:after="40" w:before="0" w:line="40" w:lineRule="exact"/>
      </w:pPr>
      <w:r>
        <w:rPr>
          <w:sz w:val="4"/>
        </w:rPr>
      </w:r>
    </w:p>
    <w:p>
      <w:r>
        <w:t xml:space="preserve">T01 </w:t>
      </w:r>
      <w:hyperlink r:id="rId9">
        <w:r>
          <w:rPr>
            <w:color w:val="1F4E79"/>
            <w:u w:val="single"/>
            <w:sz w:val="21"/>
          </w:rPr>
          <w:t>0xba7d0aa006f85fbf09fc47ba5f1971ebcad0a857c828c4f367e0b75965b99e93</w:t>
        </w:r>
      </w:hyperlink>
    </w:p>
    <w:p>
      <w:r>
        <w:t xml:space="preserve">T02 </w:t>
      </w:r>
      <w:hyperlink r:id="rId10">
        <w:r>
          <w:rPr>
            <w:color w:val="1F4E79"/>
            <w:u w:val="single"/>
            <w:sz w:val="21"/>
          </w:rPr>
          <w:t>0x0d7e687bd86349c905e0ea311b83dd87b109f748b4905ec6bab576b21790998f</w:t>
        </w:r>
      </w:hyperlink>
    </w:p>
    <w:p>
      <w:r>
        <w:t xml:space="preserve">T03 </w:t>
      </w:r>
      <w:hyperlink r:id="rId11">
        <w:r>
          <w:rPr>
            <w:color w:val="1F4E79"/>
            <w:u w:val="single"/>
            <w:sz w:val="21"/>
          </w:rPr>
          <w:t>0x4da3cb2bce785ebcd3932742547f73e30d44a1a528f955c2a5df29b81398d86a</w:t>
        </w:r>
      </w:hyperlink>
    </w:p>
    <w:p>
      <w:r>
        <w:t xml:space="preserve">T04 </w:t>
      </w:r>
      <w:hyperlink r:id="rId12">
        <w:r>
          <w:rPr>
            <w:color w:val="1F4E79"/>
            <w:u w:val="single"/>
            <w:sz w:val="21"/>
          </w:rPr>
          <w:t>0x6d79acb0affb05f9a53ef26a1aea65eff1994d9f16f044f506f167a8ec621690</w:t>
        </w:r>
      </w:hyperlink>
    </w:p>
    <w:p>
      <w:r>
        <w:t xml:space="preserve">T05 </w:t>
      </w:r>
      <w:hyperlink r:id="rId13">
        <w:r>
          <w:rPr>
            <w:color w:val="1F4E79"/>
            <w:u w:val="single"/>
            <w:sz w:val="21"/>
          </w:rPr>
          <w:t>0xfd0e1cd74228dab384058eb91bed450b18e6f5a23427a8d1d772901cd6495a18</w:t>
        </w:r>
      </w:hyperlink>
    </w:p>
    <w:p>
      <w:r>
        <w:t xml:space="preserve">T06 </w:t>
      </w:r>
      <w:hyperlink r:id="rId14">
        <w:r>
          <w:rPr>
            <w:color w:val="1F4E79"/>
            <w:u w:val="single"/>
            <w:sz w:val="21"/>
          </w:rPr>
          <w:t>0xa4c188fc662453dd42b59117e0a8f2511861919cee1ac0faaa2b2ad63cc4ed40</w:t>
        </w:r>
      </w:hyperlink>
    </w:p>
    <w:p>
      <w:r>
        <w:t xml:space="preserve">T07 </w:t>
      </w:r>
      <w:hyperlink r:id="rId15">
        <w:r>
          <w:rPr>
            <w:color w:val="1F4E79"/>
            <w:u w:val="single"/>
            <w:sz w:val="21"/>
          </w:rPr>
          <w:t>0x3d05ebb74f067c99f47536409c7dae1780556b8c9e477bc9ba689197d57ee16f</w:t>
        </w:r>
      </w:hyperlink>
    </w:p>
    <w:p>
      <w:r>
        <w:t xml:space="preserve">T08 </w:t>
      </w:r>
      <w:hyperlink r:id="rId16">
        <w:r>
          <w:rPr>
            <w:color w:val="1F4E79"/>
            <w:u w:val="single"/>
            <w:sz w:val="21"/>
          </w:rPr>
          <w:t>0x9949203096963379fd54df44ddfa58bf047ce4ca64c96646649b222e50e1a441</w:t>
        </w:r>
      </w:hyperlink>
    </w:p>
    <w:p>
      <w:r>
        <w:t xml:space="preserve">T09 </w:t>
      </w:r>
      <w:hyperlink r:id="rId17">
        <w:r>
          <w:rPr>
            <w:color w:val="1F4E79"/>
            <w:u w:val="single"/>
            <w:sz w:val="21"/>
          </w:rPr>
          <w:t>0x670075f6c17e3adf9ad924aee89adfd9a838fad31df83291b024446d0a731cb4</w:t>
        </w:r>
      </w:hyperlink>
    </w:p>
    <w:p>
      <w:r>
        <w:t xml:space="preserve">T10 </w:t>
      </w:r>
      <w:hyperlink r:id="rId18">
        <w:r>
          <w:rPr>
            <w:color w:val="1F4E79"/>
            <w:u w:val="single"/>
            <w:sz w:val="21"/>
          </w:rPr>
          <w:t>0xa0b5c00cd0a26e41c867204cd3a1a5a4fe013b7674fea9cf507513b9db5c6703</w:t>
        </w:r>
      </w:hyperlink>
    </w:p>
    <w:p>
      <w:r>
        <w:t xml:space="preserve">T11 </w:t>
      </w:r>
      <w:hyperlink r:id="rId19">
        <w:r>
          <w:rPr>
            <w:color w:val="1F4E79"/>
            <w:u w:val="single"/>
            <w:sz w:val="21"/>
          </w:rPr>
          <w:t>0x0285a253d79c6e321283b4e5b701b39e0c2470a1243ae72453e4217e2a853b2f</w:t>
        </w:r>
      </w:hyperlink>
    </w:p>
    <w:p>
      <w:r>
        <w:t xml:space="preserve">T12 </w:t>
      </w:r>
      <w:hyperlink r:id="rId20">
        <w:r>
          <w:rPr>
            <w:color w:val="1F4E79"/>
            <w:u w:val="single"/>
            <w:sz w:val="21"/>
          </w:rPr>
          <w:t>0xa67e3c33f46e1e93cf16b2c538b460664b1d08baefe8315fa082071d467394a9</w:t>
        </w:r>
      </w:hyperlink>
    </w:p>
    <w:p>
      <w:pPr>
        <w:pStyle w:val="Heading1"/>
      </w:pPr>
      <w:r>
        <w:t>9 Evidence files and traceability</w:t>
      </w:r>
    </w:p>
    <w:p>
      <w:r>
        <w:t>This report's amounts and conclusions correspond to the following saved materials. Per-round JSON retains raw integers, blocks, hashes, and checks; Markdown provides readable round-by-round explanations. The four rounds passed 10, 27, 41, and 69 checks respectively. These overlap and are not summed as independent test cases.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776"/>
      </w:tblGrid>
      <w:tr>
        <w:trPr>
          <w:cantSplit/>
          <w:tblHeader w:val="1"/>
        </w:trPr>
        <w:tc>
          <w:tcPr>
            <w:tcW w:type="dxa" w:w="2448"/>
            <w:vAlign w:val="center"/>
            <w:tcMar>
              <w:top w:w="80" w:type="dxa"/>
              <w:bottom w:w="80" w:type="dxa"/>
              <w:left w:w="95" w:type="dxa"/>
              <w:right w:w="95" w:type="dxa"/>
            </w:tcMar>
            <w:shd w:fill="EDEDED"/>
          </w:tcPr>
          <w:p>
            <w:pPr>
              <w:pStyle w:val="TableBody"/>
              <w:keepNext w:val="0"/>
            </w:pPr>
            <w:r>
              <w:rPr>
                <w:b/>
              </w:rPr>
              <w:t>Material</w:t>
            </w:r>
          </w:p>
        </w:tc>
        <w:tc>
          <w:tcPr>
            <w:tcW w:type="dxa" w:w="7776"/>
            <w:vAlign w:val="center"/>
            <w:tcMar>
              <w:top w:w="80" w:type="dxa"/>
              <w:bottom w:w="80" w:type="dxa"/>
              <w:left w:w="95" w:type="dxa"/>
              <w:right w:w="95" w:type="dxa"/>
            </w:tcMar>
            <w:shd w:fill="EDEDED"/>
          </w:tcPr>
          <w:p>
            <w:pPr>
              <w:pStyle w:val="TableBody"/>
              <w:keepNext w:val="0"/>
            </w:pPr>
            <w:r>
              <w:rPr>
                <w:b/>
              </w:rPr>
              <w:t>File within project</w:t>
            </w:r>
          </w:p>
        </w:tc>
      </w:tr>
      <w:tr>
        <w:trPr>
          <w:cantSplit/>
        </w:trPr>
        <w:tc>
          <w:tcPr>
            <w:tcW w:type="dxa" w:w="2448"/>
            <w:vAlign w:val="center"/>
            <w:tcMar>
              <w:top w:w="80" w:type="dxa"/>
              <w:bottom w:w="80" w:type="dxa"/>
              <w:left w:w="95" w:type="dxa"/>
              <w:right w:w="95" w:type="dxa"/>
            </w:tcMar>
          </w:tcPr>
          <w:p>
            <w:pPr>
              <w:pStyle w:val="TableBody"/>
              <w:keepNext w:val="0"/>
            </w:pPr>
            <w:r>
              <w:t>Deployment/deposit records</w:t>
            </w:r>
          </w:p>
        </w:tc>
        <w:tc>
          <w:tcPr>
            <w:tcW w:type="dxa" w:w="7776"/>
            <w:vAlign w:val="center"/>
            <w:tcMar>
              <w:top w:w="80" w:type="dxa"/>
              <w:bottom w:w="80" w:type="dxa"/>
              <w:left w:w="95" w:type="dxa"/>
              <w:right w:w="95" w:type="dxa"/>
            </w:tcMar>
          </w:tcPr>
          <w:p>
            <w:pPr>
              <w:pStyle w:val="TableBody"/>
              <w:keepNext w:val="0"/>
            </w:pPr>
            <w:r>
              <w:t>reports/live-deploy-1791054236385.json; reports/live-deposit-1791055111304.json</w:t>
            </w:r>
          </w:p>
        </w:tc>
      </w:tr>
      <w:tr>
        <w:trPr>
          <w:cantSplit/>
        </w:trPr>
        <w:tc>
          <w:tcPr>
            <w:tcW w:type="dxa" w:w="2448"/>
            <w:vAlign w:val="center"/>
            <w:tcMar>
              <w:top w:w="80" w:type="dxa"/>
              <w:bottom w:w="80" w:type="dxa"/>
              <w:left w:w="95" w:type="dxa"/>
              <w:right w:w="95" w:type="dxa"/>
            </w:tcMar>
          </w:tcPr>
          <w:p>
            <w:pPr>
              <w:pStyle w:val="TableBody"/>
              <w:keepNext w:val="0"/>
            </w:pPr>
            <w:r>
              <w:t>Round 1 detailed report</w:t>
            </w:r>
          </w:p>
        </w:tc>
        <w:tc>
          <w:tcPr>
            <w:tcW w:type="dxa" w:w="7776"/>
            <w:vAlign w:val="center"/>
            <w:tcMar>
              <w:top w:w="80" w:type="dxa"/>
              <w:bottom w:w="80" w:type="dxa"/>
              <w:left w:w="95" w:type="dxa"/>
              <w:right w:w="95" w:type="dxa"/>
            </w:tcMar>
          </w:tcPr>
          <w:p>
            <w:pPr>
              <w:pStyle w:val="TableBody"/>
              <w:keepNext w:val="0"/>
            </w:pPr>
            <w:r>
              <w:t>reports/live-claim-a-report.md and matching .json</w:t>
            </w:r>
          </w:p>
        </w:tc>
      </w:tr>
      <w:tr>
        <w:trPr>
          <w:cantSplit/>
        </w:trPr>
        <w:tc>
          <w:tcPr>
            <w:tcW w:type="dxa" w:w="2448"/>
            <w:vAlign w:val="center"/>
            <w:tcMar>
              <w:top w:w="80" w:type="dxa"/>
              <w:bottom w:w="80" w:type="dxa"/>
              <w:left w:w="95" w:type="dxa"/>
              <w:right w:w="95" w:type="dxa"/>
            </w:tcMar>
          </w:tcPr>
          <w:p>
            <w:pPr>
              <w:pStyle w:val="TableBody"/>
              <w:keepNext w:val="0"/>
            </w:pPr>
            <w:r>
              <w:t>Round 2 detailed report</w:t>
            </w:r>
          </w:p>
        </w:tc>
        <w:tc>
          <w:tcPr>
            <w:tcW w:type="dxa" w:w="7776"/>
            <w:vAlign w:val="center"/>
            <w:tcMar>
              <w:top w:w="80" w:type="dxa"/>
              <w:bottom w:w="80" w:type="dxa"/>
              <w:left w:w="95" w:type="dxa"/>
              <w:right w:w="95" w:type="dxa"/>
            </w:tcMar>
          </w:tcPr>
          <w:p>
            <w:pPr>
              <w:pStyle w:val="TableBody"/>
              <w:keepNext w:val="0"/>
            </w:pPr>
            <w:r>
              <w:t>reports/live-claim-ab-report.md and matching .json</w:t>
            </w:r>
          </w:p>
        </w:tc>
      </w:tr>
      <w:tr>
        <w:trPr>
          <w:cantSplit/>
        </w:trPr>
        <w:tc>
          <w:tcPr>
            <w:tcW w:type="dxa" w:w="2448"/>
            <w:vAlign w:val="center"/>
            <w:tcMar>
              <w:top w:w="80" w:type="dxa"/>
              <w:bottom w:w="80" w:type="dxa"/>
              <w:left w:w="95" w:type="dxa"/>
              <w:right w:w="95" w:type="dxa"/>
            </w:tcMar>
          </w:tcPr>
          <w:p>
            <w:pPr>
              <w:pStyle w:val="TableBody"/>
              <w:keepNext w:val="0"/>
            </w:pPr>
            <w:r>
              <w:t>Round 3 detailed report</w:t>
            </w:r>
          </w:p>
        </w:tc>
        <w:tc>
          <w:tcPr>
            <w:tcW w:type="dxa" w:w="7776"/>
            <w:vAlign w:val="center"/>
            <w:tcMar>
              <w:top w:w="80" w:type="dxa"/>
              <w:bottom w:w="80" w:type="dxa"/>
              <w:left w:w="95" w:type="dxa"/>
              <w:right w:w="95" w:type="dxa"/>
            </w:tcMar>
          </w:tcPr>
          <w:p>
            <w:pPr>
              <w:pStyle w:val="TableBody"/>
              <w:keepNext w:val="0"/>
            </w:pPr>
            <w:r>
              <w:t>reports/live-transfer-claim-report.md and matching .json</w:t>
            </w:r>
          </w:p>
        </w:tc>
      </w:tr>
      <w:tr>
        <w:trPr>
          <w:cantSplit/>
        </w:trPr>
        <w:tc>
          <w:tcPr>
            <w:tcW w:type="dxa" w:w="2448"/>
            <w:vAlign w:val="center"/>
            <w:tcMar>
              <w:top w:w="80" w:type="dxa"/>
              <w:bottom w:w="80" w:type="dxa"/>
              <w:left w:w="95" w:type="dxa"/>
              <w:right w:w="95" w:type="dxa"/>
            </w:tcMar>
          </w:tcPr>
          <w:p>
            <w:pPr>
              <w:pStyle w:val="TableBody"/>
              <w:keepNext w:val="0"/>
            </w:pPr>
            <w:r>
              <w:t>Round 4 detailed report</w:t>
            </w:r>
          </w:p>
        </w:tc>
        <w:tc>
          <w:tcPr>
            <w:tcW w:type="dxa" w:w="7776"/>
            <w:vAlign w:val="center"/>
            <w:tcMar>
              <w:top w:w="80" w:type="dxa"/>
              <w:bottom w:w="80" w:type="dxa"/>
              <w:left w:w="95" w:type="dxa"/>
              <w:right w:w="95" w:type="dxa"/>
            </w:tcMar>
          </w:tcPr>
          <w:p>
            <w:pPr>
              <w:pStyle w:val="TableBody"/>
              <w:keepNext w:val="0"/>
            </w:pPr>
            <w:r>
              <w:t>reports/live-accrued-transfer-report.md and matching .json</w:t>
            </w:r>
          </w:p>
        </w:tc>
      </w:tr>
      <w:tr>
        <w:trPr>
          <w:cantSplit/>
        </w:trPr>
        <w:tc>
          <w:tcPr>
            <w:tcW w:type="dxa" w:w="2448"/>
            <w:vAlign w:val="center"/>
            <w:tcMar>
              <w:top w:w="80" w:type="dxa"/>
              <w:bottom w:w="80" w:type="dxa"/>
              <w:left w:w="95" w:type="dxa"/>
              <w:right w:w="95" w:type="dxa"/>
            </w:tcMar>
          </w:tcPr>
          <w:p>
            <w:pPr>
              <w:pStyle w:val="TableBody"/>
              <w:keepNext w:val="0"/>
            </w:pPr>
            <w:r>
              <w:t>Pre/post-transfer authority simulations</w:t>
            </w:r>
          </w:p>
        </w:tc>
        <w:tc>
          <w:tcPr>
            <w:tcW w:type="dxa" w:w="7776"/>
            <w:vAlign w:val="center"/>
            <w:tcMar>
              <w:top w:w="80" w:type="dxa"/>
              <w:bottom w:w="80" w:type="dxa"/>
              <w:left w:w="95" w:type="dxa"/>
              <w:right w:w="95" w:type="dxa"/>
            </w:tcMar>
          </w:tcPr>
          <w:p>
            <w:pPr>
              <w:pStyle w:val="TableBody"/>
              <w:keepNext w:val="0"/>
            </w:pPr>
            <w:r>
              <w:t>reports/live-transfer-claim-authority.json; reports/live-accrued-transfer-authority.json</w:t>
            </w:r>
          </w:p>
        </w:tc>
      </w:tr>
      <w:tr>
        <w:trPr>
          <w:cantSplit/>
        </w:trPr>
        <w:tc>
          <w:tcPr>
            <w:tcW w:type="dxa" w:w="2448"/>
            <w:vAlign w:val="center"/>
            <w:tcMar>
              <w:top w:w="80" w:type="dxa"/>
              <w:bottom w:w="80" w:type="dxa"/>
              <w:left w:w="95" w:type="dxa"/>
              <w:right w:w="95" w:type="dxa"/>
            </w:tcMar>
          </w:tcPr>
          <w:p>
            <w:pPr>
              <w:pStyle w:val="TableBody"/>
              <w:keepNext w:val="0"/>
            </w:pPr>
            <w:r>
              <w:t>Concise automatic summary</w:t>
            </w:r>
          </w:p>
        </w:tc>
        <w:tc>
          <w:tcPr>
            <w:tcW w:type="dxa" w:w="7776"/>
            <w:vAlign w:val="center"/>
            <w:tcMar>
              <w:top w:w="80" w:type="dxa"/>
              <w:bottom w:w="80" w:type="dxa"/>
              <w:left w:w="95" w:type="dxa"/>
              <w:right w:w="95" w:type="dxa"/>
            </w:tcMar>
          </w:tcPr>
          <w:p>
            <w:pPr>
              <w:pStyle w:val="TableBody"/>
              <w:keepNext w:val="0"/>
            </w:pPr>
            <w:r>
              <w:t>reports/live-reward-tests-summary.md and matching .json</w:t>
            </w:r>
          </w:p>
        </w:tc>
      </w:tr>
      <w:tr>
        <w:trPr>
          <w:cantSplit/>
        </w:trPr>
        <w:tc>
          <w:tcPr>
            <w:tcW w:type="dxa" w:w="2448"/>
            <w:vAlign w:val="center"/>
            <w:tcMar>
              <w:top w:w="80" w:type="dxa"/>
              <w:bottom w:w="80" w:type="dxa"/>
              <w:left w:w="95" w:type="dxa"/>
              <w:right w:w="95" w:type="dxa"/>
            </w:tcMar>
          </w:tcPr>
          <w:p>
            <w:pPr>
              <w:pStyle w:val="TableBody"/>
              <w:keepNext w:val="0"/>
            </w:pPr>
            <w:r>
              <w:t>Initial engineering acceptance</w:t>
            </w:r>
          </w:p>
        </w:tc>
        <w:tc>
          <w:tcPr>
            <w:tcW w:type="dxa" w:w="7776"/>
            <w:vAlign w:val="center"/>
            <w:tcMar>
              <w:top w:w="80" w:type="dxa"/>
              <w:bottom w:w="80" w:type="dxa"/>
              <w:left w:w="95" w:type="dxa"/>
              <w:right w:w="95" w:type="dxa"/>
            </w:tcMar>
          </w:tcPr>
          <w:p>
            <w:pPr>
              <w:pStyle w:val="TableBody"/>
              <w:keepNext w:val="0"/>
            </w:pPr>
            <w:r>
              <w:t>docs/TEST_REPORT.md</w:t>
            </w:r>
          </w:p>
        </w:tc>
      </w:tr>
      <w:tr>
        <w:trPr>
          <w:cantSplit/>
        </w:trPr>
        <w:tc>
          <w:tcPr>
            <w:tcW w:type="dxa" w:w="2448"/>
            <w:vAlign w:val="center"/>
            <w:tcMar>
              <w:top w:w="80" w:type="dxa"/>
              <w:bottom w:w="80" w:type="dxa"/>
              <w:left w:w="95" w:type="dxa"/>
              <w:right w:w="95" w:type="dxa"/>
            </w:tcMar>
          </w:tcPr>
          <w:p>
            <w:pPr>
              <w:pStyle w:val="TableBody"/>
              <w:keepNext w:val="0"/>
            </w:pPr>
            <w:r>
              <w:t>Local workflow and CLI</w:t>
            </w:r>
          </w:p>
        </w:tc>
        <w:tc>
          <w:tcPr>
            <w:tcW w:type="dxa" w:w="7776"/>
            <w:vAlign w:val="center"/>
            <w:tcMar>
              <w:top w:w="80" w:type="dxa"/>
              <w:bottom w:w="80" w:type="dxa"/>
              <w:left w:w="95" w:type="dxa"/>
              <w:right w:w="95" w:type="dxa"/>
            </w:tcMar>
          </w:tcPr>
          <w:p>
            <w:pPr>
              <w:pStyle w:val="TableBody"/>
              <w:keepNext w:val="0"/>
            </w:pPr>
            <w:r>
              <w:t>reports/local-smoke.json; reports/cli-smoke.json</w:t>
            </w:r>
          </w:p>
        </w:tc>
      </w:tr>
      <w:tr>
        <w:trPr>
          <w:cantSplit/>
        </w:trPr>
        <w:tc>
          <w:tcPr>
            <w:tcW w:type="dxa" w:w="2448"/>
            <w:vAlign w:val="center"/>
            <w:tcMar>
              <w:top w:w="80" w:type="dxa"/>
              <w:bottom w:w="80" w:type="dxa"/>
              <w:left w:w="95" w:type="dxa"/>
              <w:right w:w="95" w:type="dxa"/>
            </w:tcMar>
          </w:tcPr>
          <w:p>
            <w:pPr>
              <w:pStyle w:val="TableBody"/>
              <w:keepNext w:val="0"/>
            </w:pPr>
            <w:r>
              <w:t>Supplementary entitlement Mocks</w:t>
            </w:r>
          </w:p>
        </w:tc>
        <w:tc>
          <w:tcPr>
            <w:tcW w:type="dxa" w:w="7776"/>
            <w:vAlign w:val="center"/>
            <w:tcMar>
              <w:top w:w="80" w:type="dxa"/>
              <w:bottom w:w="80" w:type="dxa"/>
              <w:left w:w="95" w:type="dxa"/>
              <w:right w:w="95" w:type="dxa"/>
            </w:tcMar>
          </w:tcPr>
          <w:p>
            <w:pPr>
              <w:pStyle w:val="TableBody"/>
              <w:keepNext w:val="0"/>
            </w:pPr>
            <w:r>
              <w:t>reports/live-transfer-claim-local-validation.json</w:t>
            </w:r>
          </w:p>
        </w:tc>
      </w:tr>
    </w:tbl>
    <w:p>
      <w:pPr>
        <w:spacing w:after="40" w:before="0" w:line="40" w:lineRule="exact"/>
      </w:pPr>
      <w:r>
        <w:rPr>
          <w:sz w:val="4"/>
        </w:rPr>
      </w:r>
    </w:p>
    <w:p>
      <w:r>
        <w:t>Final cutoff block hash: 0x6dd23ea483fa2dad0c10ad56f378f3db1291fbf45da779ac8ba1f9d123d9aabb.</w:t>
      </w:r>
    </w:p>
    <w:p>
      <w:r>
        <w:t>The four fixed baseline blocks are 125545165, 125607064, 125646568, and 125706961. Original baselines, reports archived by transaction, and successful rehearsals for each round are retained and are not overwritten by this consolidated report.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9" w:lineRule="auto" w:before="0"/>
      <w:contextualSpacing/>
    </w:pPr>
    <w:rPr>
      <w:rFonts w:asciiTheme="majorHAnsi" w:eastAsiaTheme="majorEastAsia" w:hAnsiTheme="majorHAnsi" w:cstheme="majorBidi" w:ascii="Arial" w:hAnsi="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basedOn w:val="Normal"/>
    <w:pPr>
      <w:spacing w:after="0" w:before="0" w:line="264" w:lineRule="auto"/>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scscan.com/tx/0xba7d0aa006f85fbf09fc47ba5f1971ebcad0a857c828c4f367e0b75965b99e93" TargetMode="External"/><Relationship Id="rId10" Type="http://schemas.openxmlformats.org/officeDocument/2006/relationships/hyperlink" Target="https://bscscan.com/tx/0x0d7e687bd86349c905e0ea311b83dd87b109f748b4905ec6bab576b21790998f" TargetMode="External"/><Relationship Id="rId11" Type="http://schemas.openxmlformats.org/officeDocument/2006/relationships/hyperlink" Target="https://bscscan.com/tx/0x4da3cb2bce785ebcd3932742547f73e30d44a1a528f955c2a5df29b81398d86a" TargetMode="External"/><Relationship Id="rId12" Type="http://schemas.openxmlformats.org/officeDocument/2006/relationships/hyperlink" Target="https://bscscan.com/tx/0x6d79acb0affb05f9a53ef26a1aea65eff1994d9f16f044f506f167a8ec621690" TargetMode="External"/><Relationship Id="rId13" Type="http://schemas.openxmlformats.org/officeDocument/2006/relationships/hyperlink" Target="https://bscscan.com/tx/0xfd0e1cd74228dab384058eb91bed450b18e6f5a23427a8d1d772901cd6495a18" TargetMode="External"/><Relationship Id="rId14" Type="http://schemas.openxmlformats.org/officeDocument/2006/relationships/hyperlink" Target="https://bscscan.com/tx/0xa4c188fc662453dd42b59117e0a8f2511861919cee1ac0faaa2b2ad63cc4ed40" TargetMode="External"/><Relationship Id="rId15" Type="http://schemas.openxmlformats.org/officeDocument/2006/relationships/hyperlink" Target="https://bscscan.com/tx/0x3d05ebb74f067c99f47536409c7dae1780556b8c9e477bc9ba689197d57ee16f" TargetMode="External"/><Relationship Id="rId16" Type="http://schemas.openxmlformats.org/officeDocument/2006/relationships/hyperlink" Target="https://bscscan.com/tx/0x9949203096963379fd54df44ddfa58bf047ce4ca64c96646649b222e50e1a441" TargetMode="External"/><Relationship Id="rId17" Type="http://schemas.openxmlformats.org/officeDocument/2006/relationships/hyperlink" Target="https://bscscan.com/tx/0x670075f6c17e3adf9ad924aee89adfd9a838fad31df83291b024446d0a731cb4" TargetMode="External"/><Relationship Id="rId18" Type="http://schemas.openxmlformats.org/officeDocument/2006/relationships/hyperlink" Target="https://bscscan.com/tx/0xa0b5c00cd0a26e41c867204cd3a1a5a4fe013b7674fea9cf507513b9db5c6703" TargetMode="External"/><Relationship Id="rId19" Type="http://schemas.openxmlformats.org/officeDocument/2006/relationships/hyperlink" Target="https://bscscan.com/tx/0x0285a253d79c6e321283b4e5b701b39e0c2470a1243ae72453e4217e2a853b2f" TargetMode="External"/><Relationship Id="rId20" Type="http://schemas.openxmlformats.org/officeDocument/2006/relationships/hyperlink" Target="https://bscscan.com/tx/0xa67e3c33f46e1e93cf16b2c538b460664b1d08baefe8315fa082071d467394a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TapeOut Miner Custody and Reward Distribution Complete Test Report</dc:title>
  <dc:subject>TapeOut legacy BSC mainnet tests and evidence</dc:subject>
  <dc:creator>TapeOut</dc:creator>
  <cp:keywords/>
  <dc:description/>
  <cp:lastModifiedBy>TapeOut</cp:lastModifiedBy>
  <cp:revision>1</cp:revision>
  <dcterms:created xsi:type="dcterms:W3CDTF">2026-10-20T00:00:00Z</dcterms:created>
  <dcterms:modified xsi:type="dcterms:W3CDTF">2026-10-20T00:00:00Z</dcterms:modified>
  <cp:category/>
</cp:coreProperties>
</file>