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TapeOut Round 5 Consolidation and Redemption Test Report</w:t>
      </w:r>
    </w:p>
    <w:p>
      <w:r>
        <w:rPr>
          <w:b/>
        </w:rPr>
        <w:t>Conclusion: mainnet verification passed.</w:t>
      </w:r>
      <w:r>
        <w:t xml:space="preserve"> B transferred reward NFT #2 to A. Holding both #1 and #2, A then called redeemMiner(), settling rewards, burning both reward NFTs, and recovering the miner in one transaction. A actually received </w:t>
      </w:r>
      <w:r>
        <w:rPr>
          <w:b/>
        </w:rPr>
        <w:t>0.00035546 BEM</w:t>
      </w:r>
      <w:r>
        <w:t xml:space="preserve"> this round, and miner #3204 was transferred to A.</w:t>
      </w:r>
    </w:p>
    <w:p>
      <w:r>
        <w:t xml:space="preserve">This report supplements the complete report for the first four rounds. Evidence cutoff: BSC block </w:t>
      </w:r>
      <w:r>
        <w:rPr>
          <w:b/>
        </w:rPr>
        <w:t>125717060</w:t>
      </w:r>
      <w:r>
        <w:t xml:space="preserve">, </w:t>
      </w:r>
      <w:r>
        <w:rPr>
          <w:b/>
        </w:rPr>
        <w:t>2026-10-05 01:34:08 (Beijing time)</w:t>
      </w:r>
      <w:r>
        <w:t>. The user sent both transactions. Report generation performed only read-only verification, with no new signature or broadcast. BEM has 8 decimals; amounts below retain raw integers as well to prevent decimal misreading.</w:t>
      </w:r>
    </w:p>
    <w:p>
      <w:pPr>
        <w:pStyle w:val="Heading1"/>
      </w:pPr>
      <w:r>
        <w:t>1 Test subjects and execution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Subject</w:t>
            </w:r>
          </w:p>
        </w:tc>
        <w:tc>
          <w:tcPr>
            <w:tcW w:type="dxa" w:w="7776"/>
            <w:vAlign w:val="center"/>
            <w:tcMar>
              <w:top w:w="80" w:type="dxa"/>
              <w:bottom w:w="80" w:type="dxa"/>
              <w:left w:w="95" w:type="dxa"/>
              <w:right w:w="95" w:type="dxa"/>
            </w:tcMar>
            <w:shd w:fill="EDEDED"/>
          </w:tcPr>
          <w:p>
            <w:pPr>
              <w:pStyle w:val="TableBody"/>
              <w:keepNext w:val="0"/>
            </w:pPr>
            <w:r>
              <w:rPr>
                <w:b/>
              </w:rPr>
              <w:t>Address or identifier</w:t>
            </w:r>
          </w:p>
        </w:tc>
      </w:tr>
      <w:tr>
        <w:trPr>
          <w:cantSplit/>
        </w:trPr>
        <w:tc>
          <w:tcPr>
            <w:tcW w:type="dxa" w:w="2448"/>
            <w:vAlign w:val="center"/>
            <w:tcMar>
              <w:top w:w="80" w:type="dxa"/>
              <w:bottom w:w="80" w:type="dxa"/>
              <w:left w:w="95" w:type="dxa"/>
              <w:right w:w="95" w:type="dxa"/>
            </w:tcMar>
          </w:tcPr>
          <w:p>
            <w:pPr>
              <w:pStyle w:val="TableBody"/>
              <w:keepNext w:val="0"/>
            </w:pPr>
            <w:r>
              <w:t>Network</w:t>
            </w:r>
          </w:p>
        </w:tc>
        <w:tc>
          <w:tcPr>
            <w:tcW w:type="dxa" w:w="7776"/>
            <w:vAlign w:val="center"/>
            <w:tcMar>
              <w:top w:w="80" w:type="dxa"/>
              <w:bottom w:w="80" w:type="dxa"/>
              <w:left w:w="95" w:type="dxa"/>
              <w:right w:w="95" w:type="dxa"/>
            </w:tcMar>
          </w:tcPr>
          <w:p>
            <w:pPr>
              <w:pStyle w:val="TableBody"/>
              <w:keepNext w:val="0"/>
            </w:pPr>
            <w:r>
              <w:t>BNB Smart Chain mainnet, chainId 56</w:t>
            </w:r>
          </w:p>
        </w:tc>
      </w:tr>
      <w:tr>
        <w:trPr>
          <w:cantSplit/>
        </w:trPr>
        <w:tc>
          <w:tcPr>
            <w:tcW w:type="dxa" w:w="2448"/>
            <w:vAlign w:val="center"/>
            <w:tcMar>
              <w:top w:w="80" w:type="dxa"/>
              <w:bottom w:w="80" w:type="dxa"/>
              <w:left w:w="95" w:type="dxa"/>
              <w:right w:w="95" w:type="dxa"/>
            </w:tcMar>
          </w:tcPr>
          <w:p>
            <w:pPr>
              <w:pStyle w:val="TableBody"/>
              <w:keepNext w:val="0"/>
            </w:pPr>
            <w:r>
              <w:t>Vault</w:t>
            </w:r>
          </w:p>
        </w:tc>
        <w:tc>
          <w:tcPr>
            <w:tcW w:type="dxa" w:w="7776"/>
            <w:vAlign w:val="center"/>
            <w:tcMar>
              <w:top w:w="80" w:type="dxa"/>
              <w:bottom w:w="80" w:type="dxa"/>
              <w:left w:w="95" w:type="dxa"/>
              <w:right w:w="95" w:type="dxa"/>
            </w:tcMar>
          </w:tcPr>
          <w:p>
            <w:pPr>
              <w:pStyle w:val="TableBody"/>
              <w:keepNext w:val="0"/>
            </w:pPr>
            <w:r>
              <w:t>0x4D42634488E9E9C30D1AbAFd4C5f47b29502E35B</w:t>
            </w:r>
          </w:p>
        </w:tc>
      </w:tr>
      <w:tr>
        <w:trPr>
          <w:cantSplit/>
        </w:trPr>
        <w:tc>
          <w:tcPr>
            <w:tcW w:type="dxa" w:w="2448"/>
            <w:vAlign w:val="center"/>
            <w:tcMar>
              <w:top w:w="80" w:type="dxa"/>
              <w:bottom w:w="80" w:type="dxa"/>
              <w:left w:w="95" w:type="dxa"/>
              <w:right w:w="95" w:type="dxa"/>
            </w:tcMar>
          </w:tcPr>
          <w:p>
            <w:pPr>
              <w:pStyle w:val="TableBody"/>
              <w:keepNext w:val="0"/>
            </w:pPr>
            <w:r>
              <w:t>A</w:t>
            </w:r>
          </w:p>
        </w:tc>
        <w:tc>
          <w:tcPr>
            <w:tcW w:type="dxa" w:w="7776"/>
            <w:vAlign w:val="center"/>
            <w:tcMar>
              <w:top w:w="80" w:type="dxa"/>
              <w:bottom w:w="80" w:type="dxa"/>
              <w:left w:w="95" w:type="dxa"/>
              <w:right w:w="95" w:type="dxa"/>
            </w:tcMar>
          </w:tcPr>
          <w:p>
            <w:pPr>
              <w:pStyle w:val="TableBody"/>
              <w:keepNext w:val="0"/>
            </w:pPr>
            <w:r>
              <w:t>0x1b55E6A757987576E1a130A011f9E12498De7DB9</w:t>
            </w:r>
          </w:p>
        </w:tc>
      </w:tr>
      <w:tr>
        <w:trPr>
          <w:cantSplit/>
        </w:trPr>
        <w:tc>
          <w:tcPr>
            <w:tcW w:type="dxa" w:w="2448"/>
            <w:vAlign w:val="center"/>
            <w:tcMar>
              <w:top w:w="80" w:type="dxa"/>
              <w:bottom w:w="80" w:type="dxa"/>
              <w:left w:w="95" w:type="dxa"/>
              <w:right w:w="95" w:type="dxa"/>
            </w:tcMar>
          </w:tcPr>
          <w:p>
            <w:pPr>
              <w:pStyle w:val="TableBody"/>
              <w:keepNext w:val="0"/>
            </w:pPr>
            <w:r>
              <w:t>B</w:t>
            </w:r>
          </w:p>
        </w:tc>
        <w:tc>
          <w:tcPr>
            <w:tcW w:type="dxa" w:w="7776"/>
            <w:vAlign w:val="center"/>
            <w:tcMar>
              <w:top w:w="80" w:type="dxa"/>
              <w:bottom w:w="80" w:type="dxa"/>
              <w:left w:w="95" w:type="dxa"/>
              <w:right w:w="95" w:type="dxa"/>
            </w:tcMar>
          </w:tcPr>
          <w:p>
            <w:pPr>
              <w:pStyle w:val="TableBody"/>
              <w:keepNext w:val="0"/>
            </w:pPr>
            <w:r>
              <w:t>0x63979C9d5200A5080be93eb440D469d2F2ec6682</w:t>
            </w:r>
          </w:p>
        </w:tc>
      </w:tr>
      <w:tr>
        <w:trPr>
          <w:cantSplit/>
        </w:trPr>
        <w:tc>
          <w:tcPr>
            <w:tcW w:type="dxa" w:w="2448"/>
            <w:vAlign w:val="center"/>
            <w:tcMar>
              <w:top w:w="80" w:type="dxa"/>
              <w:bottom w:w="80" w:type="dxa"/>
              <w:left w:w="95" w:type="dxa"/>
              <w:right w:w="95" w:type="dxa"/>
            </w:tcMar>
          </w:tcPr>
          <w:p>
            <w:pPr>
              <w:pStyle w:val="TableBody"/>
              <w:keepNext w:val="0"/>
            </w:pPr>
            <w:r>
              <w:t>owner</w:t>
            </w:r>
          </w:p>
        </w:tc>
        <w:tc>
          <w:tcPr>
            <w:tcW w:type="dxa" w:w="7776"/>
            <w:vAlign w:val="center"/>
            <w:tcMar>
              <w:top w:w="80" w:type="dxa"/>
              <w:bottom w:w="80" w:type="dxa"/>
              <w:left w:w="95" w:type="dxa"/>
              <w:right w:w="95" w:type="dxa"/>
            </w:tcMar>
          </w:tcPr>
          <w:p>
            <w:pPr>
              <w:pStyle w:val="TableBody"/>
              <w:keepNext w:val="0"/>
            </w:pPr>
            <w:r>
              <w:t>0x7eEDccb674e9549b61B01Eb65aC68DA071ADF129</w:t>
            </w:r>
          </w:p>
        </w:tc>
      </w:tr>
      <w:tr>
        <w:trPr>
          <w:cantSplit/>
        </w:trPr>
        <w:tc>
          <w:tcPr>
            <w:tcW w:type="dxa" w:w="2448"/>
            <w:vAlign w:val="center"/>
            <w:tcMar>
              <w:top w:w="80" w:type="dxa"/>
              <w:bottom w:w="80" w:type="dxa"/>
              <w:left w:w="95" w:type="dxa"/>
              <w:right w:w="95" w:type="dxa"/>
            </w:tcMar>
          </w:tcPr>
          <w:p>
            <w:pPr>
              <w:pStyle w:val="TableBody"/>
              <w:keepNext w:val="0"/>
            </w:pPr>
            <w:r>
              <w:t>Miner</w:t>
            </w:r>
          </w:p>
        </w:tc>
        <w:tc>
          <w:tcPr>
            <w:tcW w:type="dxa" w:w="7776"/>
            <w:vAlign w:val="center"/>
            <w:tcMar>
              <w:top w:w="80" w:type="dxa"/>
              <w:bottom w:w="80" w:type="dxa"/>
              <w:left w:w="95" w:type="dxa"/>
              <w:right w:w="95" w:type="dxa"/>
            </w:tcMar>
          </w:tcPr>
          <w:p>
            <w:pPr>
              <w:pStyle w:val="TableBody"/>
              <w:keepNext w:val="0"/>
            </w:pPr>
            <w:r>
              <w:t>ERC-721 #3204, collection 0xb1024b89886B9a34Aa4ff5F31C411D708b20a14C</w:t>
            </w:r>
          </w:p>
        </w:tc>
      </w:tr>
      <w:tr>
        <w:trPr>
          <w:cantSplit/>
        </w:trPr>
        <w:tc>
          <w:tcPr>
            <w:tcW w:type="dxa" w:w="2448"/>
            <w:vAlign w:val="center"/>
            <w:tcMar>
              <w:top w:w="80" w:type="dxa"/>
              <w:bottom w:w="80" w:type="dxa"/>
              <w:left w:w="95" w:type="dxa"/>
              <w:right w:w="95" w:type="dxa"/>
            </w:tcMar>
          </w:tcPr>
          <w:p>
            <w:pPr>
              <w:pStyle w:val="TableBody"/>
              <w:keepNext w:val="0"/>
            </w:pPr>
            <w:r>
              <w:t>Reward shares</w:t>
            </w:r>
          </w:p>
        </w:tc>
        <w:tc>
          <w:tcPr>
            <w:tcW w:type="dxa" w:w="7776"/>
            <w:vAlign w:val="center"/>
            <w:tcMar>
              <w:top w:w="80" w:type="dxa"/>
              <w:bottom w:w="80" w:type="dxa"/>
              <w:left w:w="95" w:type="dxa"/>
              <w:right w:w="95" w:type="dxa"/>
            </w:tcMar>
          </w:tcPr>
          <w:p>
            <w:pPr>
              <w:pStyle w:val="TableBody"/>
              <w:keepNext w:val="0"/>
            </w:pPr>
            <w:r>
              <w:t>Vault-issued ERC-1155 #1 and #2, one unit each, equal weight</w:t>
            </w:r>
          </w:p>
        </w:tc>
      </w:tr>
      <w:tr>
        <w:trPr>
          <w:cantSplit/>
        </w:trPr>
        <w:tc>
          <w:tcPr>
            <w:tcW w:type="dxa" w:w="2448"/>
            <w:vAlign w:val="center"/>
            <w:tcMar>
              <w:top w:w="80" w:type="dxa"/>
              <w:bottom w:w="80" w:type="dxa"/>
              <w:left w:w="95" w:type="dxa"/>
              <w:right w:w="95" w:type="dxa"/>
            </w:tcMar>
          </w:tcPr>
          <w:p>
            <w:pPr>
              <w:pStyle w:val="TableBody"/>
              <w:keepNext w:val="0"/>
            </w:pPr>
            <w:r>
              <w:t>BEM</w:t>
            </w:r>
          </w:p>
        </w:tc>
        <w:tc>
          <w:tcPr>
            <w:tcW w:type="dxa" w:w="7776"/>
            <w:vAlign w:val="center"/>
            <w:tcMar>
              <w:top w:w="80" w:type="dxa"/>
              <w:bottom w:w="80" w:type="dxa"/>
              <w:left w:w="95" w:type="dxa"/>
              <w:right w:w="95" w:type="dxa"/>
            </w:tcMar>
          </w:tcPr>
          <w:p>
            <w:pPr>
              <w:pStyle w:val="TableBody"/>
              <w:keepNext w:val="0"/>
            </w:pPr>
            <w:r>
              <w:t>0x5ce033B2bFCa3Af30b3e8C8457DeaF776A8b695a</w:t>
            </w:r>
          </w:p>
        </w:tc>
      </w:tr>
    </w:tbl>
    <w:p>
      <w:pPr>
        <w:spacing w:after="40" w:before="0" w:line="40" w:lineRule="exact"/>
      </w:pPr>
      <w:r>
        <w:rPr>
          <w:sz w:val="4"/>
        </w:rPr>
      </w:r>
    </w:p>
    <w:p>
      <w:r>
        <w:t>T01: B called safeTransferFrom(B, A, 2, 1, 0x), block 125716942, receipt success. Fixed-block states before/after and the TransferSingle event agree: #2 moved from B to A; A already held #1. Transfer paid no BEM, changed no reward accounting, and did not move the miner.</w:t>
      </w:r>
    </w:p>
    <w:p>
      <w:r>
        <w:t xml:space="preserve">T01 </w:t>
      </w:r>
      <w:hyperlink r:id="rId9">
        <w:r>
          <w:rPr>
            <w:color w:val="1F4E79"/>
            <w:u w:val="single"/>
            <w:sz w:val="21"/>
          </w:rPr>
          <w:t>0x189b173121d493d303f21f0487d0655fc87098788a0646924c6ed7dc796fd383</w:t>
        </w:r>
      </w:hyperlink>
    </w:p>
    <w:p>
      <w:r>
        <w:t>T02: A called redeemMiner(), block 125717060, receipt success. The receipt contains actual BEM inflow, two RewardClaimed events, one combined BEM payment, two reward NFT burns, the miner Transfer, and MinerClosed(reason=Redeemed).</w:t>
      </w:r>
    </w:p>
    <w:p>
      <w:r>
        <w:t xml:space="preserve">T02 </w:t>
      </w:r>
      <w:hyperlink r:id="rId10">
        <w:r>
          <w:rPr>
            <w:color w:val="1F4E79"/>
            <w:u w:val="single"/>
            <w:sz w:val="21"/>
          </w:rPr>
          <w:t>0xf9f3825bcdc4ae1c4397479a4c77a16492ce38f230b930655a8c1cffc1657e17</w:t>
        </w:r>
      </w:hyperlink>
    </w:p>
    <w:p>
      <w:r>
        <w:t>Consolidation used gasUsed 65054, fee 0.0000032527 BNB, paid by B. Redemption used gasUsed 221768, fee 0.0000110884 BNB, paid by A. Combined fees: 0.0000143411 BNB. Fees use receipt gasUsed × effectiveGasPrice, not CLI maximum-fee estimates.</w:t>
      </w:r>
    </w:p>
    <w:p>
      <w:pPr>
        <w:pStyle w:val="Heading1"/>
      </w:pPr>
      <w:r>
        <w:t>2 BEM inflow and payments this round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088"/>
        <w:gridCol w:w="3456"/>
      </w:tblGrid>
      <w:tr>
        <w:trPr>
          <w:cantSplit/>
          <w:tblHeader w:val="1"/>
        </w:trPr>
        <w:tc>
          <w:tcPr>
            <w:tcW w:type="dxa" w:w="4680"/>
            <w:vAlign w:val="center"/>
            <w:tcMar>
              <w:top w:w="80" w:type="dxa"/>
              <w:bottom w:w="80" w:type="dxa"/>
              <w:left w:w="95" w:type="dxa"/>
              <w:right w:w="95" w:type="dxa"/>
            </w:tcMar>
            <w:shd w:fill="EDEDED"/>
          </w:tcPr>
          <w:p>
            <w:pPr>
              <w:pStyle w:val="TableBody"/>
              <w:keepNext w:val="0"/>
            </w:pPr>
            <w:r>
              <w:rPr>
                <w:b/>
              </w:rPr>
              <w:t>Item</w:t>
            </w:r>
          </w:p>
        </w:tc>
        <w:tc>
          <w:tcPr>
            <w:tcW w:type="dxa" w:w="2088"/>
            <w:vAlign w:val="center"/>
            <w:tcMar>
              <w:top w:w="80" w:type="dxa"/>
              <w:bottom w:w="80" w:type="dxa"/>
              <w:left w:w="95" w:type="dxa"/>
              <w:right w:w="95" w:type="dxa"/>
            </w:tcMar>
            <w:shd w:fill="EDEDED"/>
          </w:tcPr>
          <w:p>
            <w:pPr>
              <w:pStyle w:val="TableBody"/>
              <w:keepNext w:val="0"/>
            </w:pPr>
            <w:r>
              <w:rPr>
                <w:b/>
              </w:rPr>
              <w:t>Raw integer</w:t>
            </w:r>
          </w:p>
        </w:tc>
        <w:tc>
          <w:tcPr>
            <w:tcW w:type="dxa" w:w="3456"/>
            <w:vAlign w:val="center"/>
            <w:tcMar>
              <w:top w:w="80" w:type="dxa"/>
              <w:bottom w:w="80" w:type="dxa"/>
              <w:left w:w="95" w:type="dxa"/>
              <w:right w:w="95" w:type="dxa"/>
            </w:tcMar>
            <w:shd w:fill="EDEDED"/>
          </w:tcPr>
          <w:p>
            <w:pPr>
              <w:pStyle w:val="TableBody"/>
              <w:keepNext w:val="0"/>
            </w:pPr>
            <w:r>
              <w:rPr>
                <w:b/>
              </w:rPr>
              <w:t>BEM amount</w:t>
            </w:r>
          </w:p>
        </w:tc>
      </w:tr>
      <w:tr>
        <w:trPr>
          <w:cantSplit/>
        </w:trPr>
        <w:tc>
          <w:tcPr>
            <w:tcW w:type="dxa" w:w="4680"/>
            <w:vAlign w:val="center"/>
            <w:tcMar>
              <w:top w:w="80" w:type="dxa"/>
              <w:bottom w:w="80" w:type="dxa"/>
              <w:left w:w="95" w:type="dxa"/>
              <w:right w:w="95" w:type="dxa"/>
            </w:tcMar>
          </w:tcPr>
          <w:p>
            <w:pPr>
              <w:pStyle w:val="TableBody"/>
              <w:keepNext w:val="0"/>
            </w:pPr>
            <w:r>
              <w:t>Mining pending before redemption</w:t>
            </w:r>
          </w:p>
        </w:tc>
        <w:tc>
          <w:tcPr>
            <w:tcW w:type="dxa" w:w="2088"/>
            <w:vAlign w:val="center"/>
            <w:tcMar>
              <w:top w:w="80" w:type="dxa"/>
              <w:bottom w:w="80" w:type="dxa"/>
              <w:left w:w="95" w:type="dxa"/>
              <w:right w:w="95" w:type="dxa"/>
            </w:tcMar>
          </w:tcPr>
          <w:p>
            <w:pPr>
              <w:pStyle w:val="TableBody"/>
              <w:keepNext w:val="0"/>
              <w:jc w:val="center"/>
            </w:pPr>
            <w:r>
              <w:t>34903</w:t>
            </w:r>
          </w:p>
        </w:tc>
        <w:tc>
          <w:tcPr>
            <w:tcW w:type="dxa" w:w="3456"/>
            <w:vAlign w:val="center"/>
            <w:tcMar>
              <w:top w:w="80" w:type="dxa"/>
              <w:bottom w:w="80" w:type="dxa"/>
              <w:left w:w="95" w:type="dxa"/>
              <w:right w:w="95" w:type="dxa"/>
            </w:tcMar>
          </w:tcPr>
          <w:p>
            <w:pPr>
              <w:pStyle w:val="TableBody"/>
              <w:keepNext w:val="0"/>
              <w:jc w:val="center"/>
            </w:pPr>
            <w:r>
              <w:t>0.00034903</w:t>
            </w:r>
          </w:p>
        </w:tc>
      </w:tr>
      <w:tr>
        <w:trPr>
          <w:cantSplit/>
        </w:trPr>
        <w:tc>
          <w:tcPr>
            <w:tcW w:type="dxa" w:w="4680"/>
            <w:vAlign w:val="center"/>
            <w:tcMar>
              <w:top w:w="80" w:type="dxa"/>
              <w:bottom w:w="80" w:type="dxa"/>
              <w:left w:w="95" w:type="dxa"/>
              <w:right w:w="95" w:type="dxa"/>
            </w:tcMar>
          </w:tcPr>
          <w:p>
            <w:pPr>
              <w:pStyle w:val="TableBody"/>
              <w:keepNext w:val="0"/>
            </w:pPr>
            <w:r>
              <w:t>Existing Vault balance before redemption</w:t>
            </w:r>
          </w:p>
        </w:tc>
        <w:tc>
          <w:tcPr>
            <w:tcW w:type="dxa" w:w="2088"/>
            <w:vAlign w:val="center"/>
            <w:tcMar>
              <w:top w:w="80" w:type="dxa"/>
              <w:bottom w:w="80" w:type="dxa"/>
              <w:left w:w="95" w:type="dxa"/>
              <w:right w:w="95" w:type="dxa"/>
            </w:tcMar>
          </w:tcPr>
          <w:p>
            <w:pPr>
              <w:pStyle w:val="TableBody"/>
              <w:keepNext w:val="0"/>
              <w:jc w:val="center"/>
            </w:pPr>
            <w:r>
              <w:t>0</w:t>
            </w:r>
          </w:p>
        </w:tc>
        <w:tc>
          <w:tcPr>
            <w:tcW w:type="dxa" w:w="3456"/>
            <w:vAlign w:val="center"/>
            <w:tcMar>
              <w:top w:w="80" w:type="dxa"/>
              <w:bottom w:w="80" w:type="dxa"/>
              <w:left w:w="95" w:type="dxa"/>
              <w:right w:w="95" w:type="dxa"/>
            </w:tcMar>
          </w:tcPr>
          <w:p>
            <w:pPr>
              <w:pStyle w:val="TableBody"/>
              <w:keepNext w:val="0"/>
              <w:jc w:val="center"/>
            </w:pPr>
            <w:r>
              <w:t>0</w:t>
            </w:r>
          </w:p>
        </w:tc>
      </w:tr>
      <w:tr>
        <w:trPr>
          <w:cantSplit/>
        </w:trPr>
        <w:tc>
          <w:tcPr>
            <w:tcW w:type="dxa" w:w="4680"/>
            <w:vAlign w:val="center"/>
            <w:tcMar>
              <w:top w:w="80" w:type="dxa"/>
              <w:bottom w:w="80" w:type="dxa"/>
              <w:left w:w="95" w:type="dxa"/>
              <w:right w:w="95" w:type="dxa"/>
            </w:tcMar>
          </w:tcPr>
          <w:p>
            <w:pPr>
              <w:pStyle w:val="TableBody"/>
              <w:keepNext w:val="0"/>
            </w:pPr>
            <w:r>
              <w:t>Actual income in redemption transaction</w:t>
            </w:r>
          </w:p>
        </w:tc>
        <w:tc>
          <w:tcPr>
            <w:tcW w:type="dxa" w:w="2088"/>
            <w:vAlign w:val="center"/>
            <w:tcMar>
              <w:top w:w="80" w:type="dxa"/>
              <w:bottom w:w="80" w:type="dxa"/>
              <w:left w:w="95" w:type="dxa"/>
              <w:right w:w="95" w:type="dxa"/>
            </w:tcMar>
          </w:tcPr>
          <w:p>
            <w:pPr>
              <w:pStyle w:val="TableBody"/>
              <w:keepNext w:val="0"/>
              <w:jc w:val="center"/>
            </w:pPr>
            <w:r>
              <w:t>35546</w:t>
            </w:r>
          </w:p>
        </w:tc>
        <w:tc>
          <w:tcPr>
            <w:tcW w:type="dxa" w:w="3456"/>
            <w:vAlign w:val="center"/>
            <w:tcMar>
              <w:top w:w="80" w:type="dxa"/>
              <w:bottom w:w="80" w:type="dxa"/>
              <w:left w:w="95" w:type="dxa"/>
              <w:right w:w="95" w:type="dxa"/>
            </w:tcMar>
          </w:tcPr>
          <w:p>
            <w:pPr>
              <w:pStyle w:val="TableBody"/>
              <w:keepNext w:val="0"/>
              <w:jc w:val="center"/>
            </w:pPr>
            <w:r>
              <w:t>0.00035546</w:t>
            </w:r>
          </w:p>
        </w:tc>
      </w:tr>
      <w:tr>
        <w:trPr>
          <w:cantSplit/>
        </w:trPr>
        <w:tc>
          <w:tcPr>
            <w:tcW w:type="dxa" w:w="4680"/>
            <w:vAlign w:val="center"/>
            <w:tcMar>
              <w:top w:w="80" w:type="dxa"/>
              <w:bottom w:w="80" w:type="dxa"/>
              <w:left w:w="95" w:type="dxa"/>
              <w:right w:w="95" w:type="dxa"/>
            </w:tcMar>
          </w:tcPr>
          <w:p>
            <w:pPr>
              <w:pStyle w:val="TableBody"/>
              <w:keepNext w:val="0"/>
            </w:pPr>
            <w:r>
              <w:t>#1 settled to A this round</w:t>
            </w:r>
          </w:p>
        </w:tc>
        <w:tc>
          <w:tcPr>
            <w:tcW w:type="dxa" w:w="2088"/>
            <w:vAlign w:val="center"/>
            <w:tcMar>
              <w:top w:w="80" w:type="dxa"/>
              <w:bottom w:w="80" w:type="dxa"/>
              <w:left w:w="95" w:type="dxa"/>
              <w:right w:w="95" w:type="dxa"/>
            </w:tcMar>
          </w:tcPr>
          <w:p>
            <w:pPr>
              <w:pStyle w:val="TableBody"/>
              <w:keepNext w:val="0"/>
              <w:jc w:val="center"/>
            </w:pPr>
            <w:r>
              <w:t>17773</w:t>
            </w:r>
          </w:p>
        </w:tc>
        <w:tc>
          <w:tcPr>
            <w:tcW w:type="dxa" w:w="3456"/>
            <w:vAlign w:val="center"/>
            <w:tcMar>
              <w:top w:w="80" w:type="dxa"/>
              <w:bottom w:w="80" w:type="dxa"/>
              <w:left w:w="95" w:type="dxa"/>
              <w:right w:w="95" w:type="dxa"/>
            </w:tcMar>
          </w:tcPr>
          <w:p>
            <w:pPr>
              <w:pStyle w:val="TableBody"/>
              <w:keepNext w:val="0"/>
              <w:jc w:val="center"/>
            </w:pPr>
            <w:r>
              <w:t>0.00017773</w:t>
            </w:r>
          </w:p>
        </w:tc>
      </w:tr>
      <w:tr>
        <w:trPr>
          <w:cantSplit/>
        </w:trPr>
        <w:tc>
          <w:tcPr>
            <w:tcW w:type="dxa" w:w="4680"/>
            <w:vAlign w:val="center"/>
            <w:tcMar>
              <w:top w:w="80" w:type="dxa"/>
              <w:bottom w:w="80" w:type="dxa"/>
              <w:left w:w="95" w:type="dxa"/>
              <w:right w:w="95" w:type="dxa"/>
            </w:tcMar>
          </w:tcPr>
          <w:p>
            <w:pPr>
              <w:pStyle w:val="TableBody"/>
              <w:keepNext w:val="0"/>
            </w:pPr>
            <w:r>
              <w:t>#2 settled to A this round</w:t>
            </w:r>
          </w:p>
        </w:tc>
        <w:tc>
          <w:tcPr>
            <w:tcW w:type="dxa" w:w="2088"/>
            <w:vAlign w:val="center"/>
            <w:tcMar>
              <w:top w:w="80" w:type="dxa"/>
              <w:bottom w:w="80" w:type="dxa"/>
              <w:left w:w="95" w:type="dxa"/>
              <w:right w:w="95" w:type="dxa"/>
            </w:tcMar>
          </w:tcPr>
          <w:p>
            <w:pPr>
              <w:pStyle w:val="TableBody"/>
              <w:keepNext w:val="0"/>
              <w:jc w:val="center"/>
            </w:pPr>
            <w:r>
              <w:t>17773</w:t>
            </w:r>
          </w:p>
        </w:tc>
        <w:tc>
          <w:tcPr>
            <w:tcW w:type="dxa" w:w="3456"/>
            <w:vAlign w:val="center"/>
            <w:tcMar>
              <w:top w:w="80" w:type="dxa"/>
              <w:bottom w:w="80" w:type="dxa"/>
              <w:left w:w="95" w:type="dxa"/>
              <w:right w:w="95" w:type="dxa"/>
            </w:tcMar>
          </w:tcPr>
          <w:p>
            <w:pPr>
              <w:pStyle w:val="TableBody"/>
              <w:keepNext w:val="0"/>
              <w:jc w:val="center"/>
            </w:pPr>
            <w:r>
              <w:t>0.00017773</w:t>
            </w:r>
          </w:p>
        </w:tc>
      </w:tr>
      <w:tr>
        <w:trPr>
          <w:cantSplit/>
        </w:trPr>
        <w:tc>
          <w:tcPr>
            <w:tcW w:type="dxa" w:w="4680"/>
            <w:vAlign w:val="center"/>
            <w:tcMar>
              <w:top w:w="80" w:type="dxa"/>
              <w:bottom w:w="80" w:type="dxa"/>
              <w:left w:w="95" w:type="dxa"/>
              <w:right w:w="95" w:type="dxa"/>
            </w:tcMar>
          </w:tcPr>
          <w:p>
            <w:pPr>
              <w:pStyle w:val="TableBody"/>
              <w:keepNext w:val="0"/>
            </w:pPr>
            <w:r>
              <w:t>Additional dust payment</w:t>
            </w:r>
          </w:p>
        </w:tc>
        <w:tc>
          <w:tcPr>
            <w:tcW w:type="dxa" w:w="2088"/>
            <w:vAlign w:val="center"/>
            <w:tcMar>
              <w:top w:w="80" w:type="dxa"/>
              <w:bottom w:w="80" w:type="dxa"/>
              <w:left w:w="95" w:type="dxa"/>
              <w:right w:w="95" w:type="dxa"/>
            </w:tcMar>
          </w:tcPr>
          <w:p>
            <w:pPr>
              <w:pStyle w:val="TableBody"/>
              <w:keepNext w:val="0"/>
              <w:jc w:val="center"/>
            </w:pPr>
            <w:r>
              <w:t>0</w:t>
            </w:r>
          </w:p>
        </w:tc>
        <w:tc>
          <w:tcPr>
            <w:tcW w:type="dxa" w:w="3456"/>
            <w:vAlign w:val="center"/>
            <w:tcMar>
              <w:top w:w="80" w:type="dxa"/>
              <w:bottom w:w="80" w:type="dxa"/>
              <w:left w:w="95" w:type="dxa"/>
              <w:right w:w="95" w:type="dxa"/>
            </w:tcMar>
          </w:tcPr>
          <w:p>
            <w:pPr>
              <w:pStyle w:val="TableBody"/>
              <w:keepNext w:val="0"/>
              <w:jc w:val="center"/>
            </w:pPr>
            <w:r>
              <w:t>0</w:t>
            </w:r>
          </w:p>
        </w:tc>
      </w:tr>
      <w:tr>
        <w:trPr>
          <w:cantSplit/>
        </w:trPr>
        <w:tc>
          <w:tcPr>
            <w:tcW w:type="dxa" w:w="4680"/>
            <w:vAlign w:val="center"/>
            <w:tcMar>
              <w:top w:w="80" w:type="dxa"/>
              <w:bottom w:w="80" w:type="dxa"/>
              <w:left w:w="95" w:type="dxa"/>
              <w:right w:w="95" w:type="dxa"/>
            </w:tcMar>
          </w:tcPr>
          <w:p>
            <w:pPr>
              <w:pStyle w:val="TableBody"/>
              <w:keepNext w:val="0"/>
            </w:pPr>
            <w:r>
              <w:t>A actual receipts this round</w:t>
            </w:r>
          </w:p>
        </w:tc>
        <w:tc>
          <w:tcPr>
            <w:tcW w:type="dxa" w:w="2088"/>
            <w:vAlign w:val="center"/>
            <w:tcMar>
              <w:top w:w="80" w:type="dxa"/>
              <w:bottom w:w="80" w:type="dxa"/>
              <w:left w:w="95" w:type="dxa"/>
              <w:right w:w="95" w:type="dxa"/>
            </w:tcMar>
          </w:tcPr>
          <w:p>
            <w:pPr>
              <w:pStyle w:val="TableBody"/>
              <w:keepNext w:val="0"/>
              <w:jc w:val="center"/>
            </w:pPr>
            <w:r>
              <w:t>35546</w:t>
            </w:r>
          </w:p>
        </w:tc>
        <w:tc>
          <w:tcPr>
            <w:tcW w:type="dxa" w:w="3456"/>
            <w:vAlign w:val="center"/>
            <w:tcMar>
              <w:top w:w="80" w:type="dxa"/>
              <w:bottom w:w="80" w:type="dxa"/>
              <w:left w:w="95" w:type="dxa"/>
              <w:right w:w="95" w:type="dxa"/>
            </w:tcMar>
          </w:tcPr>
          <w:p>
            <w:pPr>
              <w:pStyle w:val="TableBody"/>
              <w:keepNext w:val="0"/>
              <w:jc w:val="center"/>
            </w:pPr>
            <w:r>
              <w:t>0.00035546</w:t>
            </w:r>
          </w:p>
        </w:tc>
      </w:tr>
      <w:tr>
        <w:trPr>
          <w:cantSplit/>
        </w:trPr>
        <w:tc>
          <w:tcPr>
            <w:tcW w:type="dxa" w:w="4680"/>
            <w:vAlign w:val="center"/>
            <w:tcMar>
              <w:top w:w="80" w:type="dxa"/>
              <w:bottom w:w="80" w:type="dxa"/>
              <w:left w:w="95" w:type="dxa"/>
              <w:right w:w="95" w:type="dxa"/>
            </w:tcMar>
          </w:tcPr>
          <w:p>
            <w:pPr>
              <w:pStyle w:val="TableBody"/>
              <w:keepNext w:val="0"/>
            </w:pPr>
            <w:r>
              <w:t>B actual receipts this round</w:t>
            </w:r>
          </w:p>
        </w:tc>
        <w:tc>
          <w:tcPr>
            <w:tcW w:type="dxa" w:w="2088"/>
            <w:vAlign w:val="center"/>
            <w:tcMar>
              <w:top w:w="80" w:type="dxa"/>
              <w:bottom w:w="80" w:type="dxa"/>
              <w:left w:w="95" w:type="dxa"/>
              <w:right w:w="95" w:type="dxa"/>
            </w:tcMar>
          </w:tcPr>
          <w:p>
            <w:pPr>
              <w:pStyle w:val="TableBody"/>
              <w:keepNext w:val="0"/>
              <w:jc w:val="center"/>
            </w:pPr>
            <w:r>
              <w:t>0</w:t>
            </w:r>
          </w:p>
        </w:tc>
        <w:tc>
          <w:tcPr>
            <w:tcW w:type="dxa" w:w="3456"/>
            <w:vAlign w:val="center"/>
            <w:tcMar>
              <w:top w:w="80" w:type="dxa"/>
              <w:bottom w:w="80" w:type="dxa"/>
              <w:left w:w="95" w:type="dxa"/>
              <w:right w:w="95" w:type="dxa"/>
            </w:tcMar>
          </w:tcPr>
          <w:p>
            <w:pPr>
              <w:pStyle w:val="TableBody"/>
              <w:keepNext w:val="0"/>
              <w:jc w:val="center"/>
            </w:pPr>
            <w:r>
              <w:t>0</w:t>
            </w:r>
          </w:p>
        </w:tc>
      </w:tr>
      <w:tr>
        <w:trPr>
          <w:cantSplit/>
        </w:trPr>
        <w:tc>
          <w:tcPr>
            <w:tcW w:type="dxa" w:w="4680"/>
            <w:vAlign w:val="center"/>
            <w:tcMar>
              <w:top w:w="80" w:type="dxa"/>
              <w:bottom w:w="80" w:type="dxa"/>
              <w:left w:w="95" w:type="dxa"/>
              <w:right w:w="95" w:type="dxa"/>
            </w:tcMar>
          </w:tcPr>
          <w:p>
            <w:pPr>
              <w:pStyle w:val="TableBody"/>
              <w:keepNext w:val="0"/>
            </w:pPr>
            <w:r>
              <w:t>Vault balance after redemption</w:t>
            </w:r>
          </w:p>
        </w:tc>
        <w:tc>
          <w:tcPr>
            <w:tcW w:type="dxa" w:w="2088"/>
            <w:vAlign w:val="center"/>
            <w:tcMar>
              <w:top w:w="80" w:type="dxa"/>
              <w:bottom w:w="80" w:type="dxa"/>
              <w:left w:w="95" w:type="dxa"/>
              <w:right w:w="95" w:type="dxa"/>
            </w:tcMar>
          </w:tcPr>
          <w:p>
            <w:pPr>
              <w:pStyle w:val="TableBody"/>
              <w:keepNext w:val="0"/>
              <w:jc w:val="center"/>
            </w:pPr>
            <w:r>
              <w:t>0</w:t>
            </w:r>
          </w:p>
        </w:tc>
        <w:tc>
          <w:tcPr>
            <w:tcW w:type="dxa" w:w="3456"/>
            <w:vAlign w:val="center"/>
            <w:tcMar>
              <w:top w:w="80" w:type="dxa"/>
              <w:bottom w:w="80" w:type="dxa"/>
              <w:left w:w="95" w:type="dxa"/>
              <w:right w:w="95" w:type="dxa"/>
            </w:tcMar>
          </w:tcPr>
          <w:p>
            <w:pPr>
              <w:pStyle w:val="TableBody"/>
              <w:keepNext w:val="0"/>
              <w:jc w:val="center"/>
            </w:pPr>
            <w:r>
              <w:t>0</w:t>
            </w:r>
          </w:p>
        </w:tc>
      </w:tr>
    </w:tbl>
    <w:p>
      <w:pPr>
        <w:spacing w:after="40" w:before="0" w:line="40" w:lineRule="exact"/>
      </w:pPr>
      <w:r>
        <w:rPr>
          <w:sz w:val="4"/>
        </w:rPr>
      </w:r>
    </w:p>
    <w:p>
      <w:r>
        <w:t>Pre-redemption data comes from block 125717059; post-redemption data from 125717060. Pending is an external Mining query before the call. Actual settlement uses the 35546 received by the Vault in the transaction; the earlier 34903 cannot be treated as final inflow. The difference is 643 minimum units, or 0.00000643 BEM.</w:t>
      </w:r>
    </w:p>
    <w:p>
      <w:r>
        <w:t>Within the transaction, Harvested.received, the first RewardsSynced.received, and the BEM inflow event all equal 35546. The second RewardsSynced.received during batch settlement is 0, with no duplicate accounting. The two RewardClaimed events sum to 35546, matching the Vault → A BEM Transfer and A's balance increase. A's BEM balance rose from 333674 to 369220; B's remained 437579.</w:t>
      </w:r>
    </w:p>
    <w:p>
      <w:pPr>
        <w:pStyle w:val="Heading1"/>
      </w:pPr>
      <w:r>
        <w:t>3 Assets and ledger after redemption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Verification item</w:t>
            </w:r>
          </w:p>
        </w:tc>
        <w:tc>
          <w:tcPr>
            <w:tcW w:type="dxa" w:w="7776"/>
            <w:vAlign w:val="center"/>
            <w:tcMar>
              <w:top w:w="80" w:type="dxa"/>
              <w:bottom w:w="80" w:type="dxa"/>
              <w:left w:w="95" w:type="dxa"/>
              <w:right w:w="95" w:type="dxa"/>
            </w:tcMar>
            <w:shd w:fill="EDEDED"/>
          </w:tcPr>
          <w:p>
            <w:pPr>
              <w:pStyle w:val="TableBody"/>
              <w:keepNext w:val="0"/>
            </w:pPr>
            <w:r>
              <w:rPr>
                <w:b/>
              </w:rPr>
              <w:t>Result at block 125717060</w:t>
            </w:r>
          </w:p>
        </w:tc>
      </w:tr>
      <w:tr>
        <w:trPr>
          <w:cantSplit/>
        </w:trPr>
        <w:tc>
          <w:tcPr>
            <w:tcW w:type="dxa" w:w="2448"/>
            <w:vAlign w:val="center"/>
            <w:tcMar>
              <w:top w:w="80" w:type="dxa"/>
              <w:bottom w:w="80" w:type="dxa"/>
              <w:left w:w="95" w:type="dxa"/>
              <w:right w:w="95" w:type="dxa"/>
            </w:tcMar>
          </w:tcPr>
          <w:p>
            <w:pPr>
              <w:pStyle w:val="TableBody"/>
              <w:keepNext w:val="0"/>
            </w:pPr>
            <w:r>
              <w:t>Miner #3204 ownerOf</w:t>
            </w:r>
          </w:p>
        </w:tc>
        <w:tc>
          <w:tcPr>
            <w:tcW w:type="dxa" w:w="7776"/>
            <w:vAlign w:val="center"/>
            <w:tcMar>
              <w:top w:w="80" w:type="dxa"/>
              <w:bottom w:w="80" w:type="dxa"/>
              <w:left w:w="95" w:type="dxa"/>
              <w:right w:w="95" w:type="dxa"/>
            </w:tcMar>
          </w:tcPr>
          <w:p>
            <w:pPr>
              <w:pStyle w:val="TableBody"/>
              <w:keepNext w:val="0"/>
            </w:pPr>
            <w:r>
              <w:t>A; no longer in Vault</w:t>
            </w:r>
          </w:p>
        </w:tc>
      </w:tr>
      <w:tr>
        <w:trPr>
          <w:cantSplit/>
        </w:trPr>
        <w:tc>
          <w:tcPr>
            <w:tcW w:type="dxa" w:w="2448"/>
            <w:vAlign w:val="center"/>
            <w:tcMar>
              <w:top w:w="80" w:type="dxa"/>
              <w:bottom w:w="80" w:type="dxa"/>
              <w:left w:w="95" w:type="dxa"/>
              <w:right w:w="95" w:type="dxa"/>
            </w:tcMar>
          </w:tcPr>
          <w:p>
            <w:pPr>
              <w:pStyle w:val="TableBody"/>
              <w:keepNext w:val="0"/>
            </w:pPr>
            <w:r>
              <w:t>Vault state</w:t>
            </w:r>
          </w:p>
        </w:tc>
        <w:tc>
          <w:tcPr>
            <w:tcW w:type="dxa" w:w="7776"/>
            <w:vAlign w:val="center"/>
            <w:tcMar>
              <w:top w:w="80" w:type="dxa"/>
              <w:bottom w:w="80" w:type="dxa"/>
              <w:left w:w="95" w:type="dxa"/>
              <w:right w:w="95" w:type="dxa"/>
            </w:tcMar>
          </w:tcPr>
          <w:p>
            <w:pPr>
              <w:pStyle w:val="TableBody"/>
              <w:keepNext w:val="0"/>
            </w:pPr>
            <w:r>
              <w:t>Closed (state=2), Redeemed (closeReason=1)</w:t>
            </w:r>
          </w:p>
        </w:tc>
      </w:tr>
      <w:tr>
        <w:trPr>
          <w:cantSplit/>
        </w:trPr>
        <w:tc>
          <w:tcPr>
            <w:tcW w:type="dxa" w:w="2448"/>
            <w:vAlign w:val="center"/>
            <w:tcMar>
              <w:top w:w="80" w:type="dxa"/>
              <w:bottom w:w="80" w:type="dxa"/>
              <w:left w:w="95" w:type="dxa"/>
              <w:right w:w="95" w:type="dxa"/>
            </w:tcMar>
          </w:tcPr>
          <w:p>
            <w:pPr>
              <w:pStyle w:val="TableBody"/>
              <w:keepNext w:val="0"/>
            </w:pPr>
            <w:r>
              <w:t>Final redemption beneficiary</w:t>
            </w:r>
          </w:p>
        </w:tc>
        <w:tc>
          <w:tcPr>
            <w:tcW w:type="dxa" w:w="7776"/>
            <w:vAlign w:val="center"/>
            <w:tcMar>
              <w:top w:w="80" w:type="dxa"/>
              <w:bottom w:w="80" w:type="dxa"/>
              <w:left w:w="95" w:type="dxa"/>
              <w:right w:w="95" w:type="dxa"/>
            </w:tcMar>
          </w:tcPr>
          <w:p>
            <w:pPr>
              <w:pStyle w:val="TableBody"/>
              <w:keepNext w:val="0"/>
            </w:pPr>
            <w:r>
              <w:t>redeemedBeneficiary = A</w:t>
            </w:r>
          </w:p>
        </w:tc>
      </w:tr>
      <w:tr>
        <w:trPr>
          <w:cantSplit/>
        </w:trPr>
        <w:tc>
          <w:tcPr>
            <w:tcW w:type="dxa" w:w="2448"/>
            <w:vAlign w:val="center"/>
            <w:tcMar>
              <w:top w:w="80" w:type="dxa"/>
              <w:bottom w:w="80" w:type="dxa"/>
              <w:left w:w="95" w:type="dxa"/>
              <w:right w:w="95" w:type="dxa"/>
            </w:tcMar>
          </w:tcPr>
          <w:p>
            <w:pPr>
              <w:pStyle w:val="TableBody"/>
              <w:keepNext w:val="0"/>
            </w:pPr>
            <w:r>
              <w:t>Reward NFTs #1 and #2</w:t>
            </w:r>
          </w:p>
        </w:tc>
        <w:tc>
          <w:tcPr>
            <w:tcW w:type="dxa" w:w="7776"/>
            <w:vAlign w:val="center"/>
            <w:tcMar>
              <w:top w:w="80" w:type="dxa"/>
              <w:bottom w:w="80" w:type="dxa"/>
              <w:left w:w="95" w:type="dxa"/>
              <w:right w:w="95" w:type="dxa"/>
            </w:tcMar>
          </w:tcPr>
          <w:p>
            <w:pPr>
              <w:pStyle w:val="TableBody"/>
              <w:keepNext w:val="0"/>
            </w:pPr>
            <w:r>
              <w:t>Burn event for each; each totalSupply=0, holder=zero address</w:t>
            </w:r>
          </w:p>
        </w:tc>
      </w:tr>
      <w:tr>
        <w:trPr>
          <w:cantSplit/>
        </w:trPr>
        <w:tc>
          <w:tcPr>
            <w:tcW w:type="dxa" w:w="2448"/>
            <w:vAlign w:val="center"/>
            <w:tcMar>
              <w:top w:w="80" w:type="dxa"/>
              <w:bottom w:w="80" w:type="dxa"/>
              <w:left w:w="95" w:type="dxa"/>
              <w:right w:w="95" w:type="dxa"/>
            </w:tcMar>
          </w:tcPr>
          <w:p>
            <w:pPr>
              <w:pStyle w:val="TableBody"/>
              <w:keepNext w:val="0"/>
            </w:pPr>
            <w:r>
              <w:t>A's #1 and #2 balances</w:t>
            </w:r>
          </w:p>
        </w:tc>
        <w:tc>
          <w:tcPr>
            <w:tcW w:type="dxa" w:w="7776"/>
            <w:vAlign w:val="center"/>
            <w:tcMar>
              <w:top w:w="80" w:type="dxa"/>
              <w:bottom w:w="80" w:type="dxa"/>
              <w:left w:w="95" w:type="dxa"/>
              <w:right w:w="95" w:type="dxa"/>
            </w:tcMar>
          </w:tcPr>
          <w:p>
            <w:pPr>
              <w:pStyle w:val="TableBody"/>
              <w:keepNext w:val="0"/>
            </w:pPr>
            <w:r>
              <w:t>Both 0; burned during redemption</w:t>
            </w:r>
          </w:p>
        </w:tc>
      </w:tr>
      <w:tr>
        <w:trPr>
          <w:cantSplit/>
        </w:trPr>
        <w:tc>
          <w:tcPr>
            <w:tcW w:type="dxa" w:w="2448"/>
            <w:vAlign w:val="center"/>
            <w:tcMar>
              <w:top w:w="80" w:type="dxa"/>
              <w:bottom w:w="80" w:type="dxa"/>
              <w:left w:w="95" w:type="dxa"/>
              <w:right w:w="95" w:type="dxa"/>
            </w:tcMar>
          </w:tcPr>
          <w:p>
            <w:pPr>
              <w:pStyle w:val="TableBody"/>
              <w:keepNext w:val="0"/>
            </w:pPr>
            <w:r>
              <w:t>claimable(1), claimable(2)</w:t>
            </w:r>
          </w:p>
        </w:tc>
        <w:tc>
          <w:tcPr>
            <w:tcW w:type="dxa" w:w="7776"/>
            <w:vAlign w:val="center"/>
            <w:tcMar>
              <w:top w:w="80" w:type="dxa"/>
              <w:bottom w:w="80" w:type="dxa"/>
              <w:left w:w="95" w:type="dxa"/>
              <w:right w:w="95" w:type="dxa"/>
            </w:tcMar>
          </w:tcPr>
          <w:p>
            <w:pPr>
              <w:pStyle w:val="TableBody"/>
              <w:keepNext w:val="0"/>
            </w:pPr>
            <w:r>
              <w:t>Both 0</w:t>
            </w:r>
          </w:p>
        </w:tc>
      </w:tr>
      <w:tr>
        <w:trPr>
          <w:cantSplit/>
        </w:trPr>
        <w:tc>
          <w:tcPr>
            <w:tcW w:type="dxa" w:w="2448"/>
            <w:vAlign w:val="center"/>
            <w:tcMar>
              <w:top w:w="80" w:type="dxa"/>
              <w:bottom w:w="80" w:type="dxa"/>
              <w:left w:w="95" w:type="dxa"/>
              <w:right w:w="95" w:type="dxa"/>
            </w:tcMar>
          </w:tcPr>
          <w:p>
            <w:pPr>
              <w:pStyle w:val="TableBody"/>
              <w:keepNext w:val="0"/>
            </w:pPr>
            <w:r>
              <w:t>Vault BEM and remainder</w:t>
            </w:r>
          </w:p>
        </w:tc>
        <w:tc>
          <w:tcPr>
            <w:tcW w:type="dxa" w:w="7776"/>
            <w:vAlign w:val="center"/>
            <w:tcMar>
              <w:top w:w="80" w:type="dxa"/>
              <w:bottom w:w="80" w:type="dxa"/>
              <w:left w:w="95" w:type="dxa"/>
              <w:right w:w="95" w:type="dxa"/>
            </w:tcMar>
          </w:tcPr>
          <w:p>
            <w:pPr>
              <w:pStyle w:val="TableBody"/>
              <w:keepNext w:val="0"/>
            </w:pPr>
            <w:r>
              <w:t>Both 0</w:t>
            </w:r>
          </w:p>
        </w:tc>
      </w:tr>
      <w:tr>
        <w:trPr>
          <w:cantSplit/>
        </w:trPr>
        <w:tc>
          <w:tcPr>
            <w:tcW w:type="dxa" w:w="2448"/>
            <w:vAlign w:val="center"/>
            <w:tcMar>
              <w:top w:w="80" w:type="dxa"/>
              <w:bottom w:w="80" w:type="dxa"/>
              <w:left w:w="95" w:type="dxa"/>
              <w:right w:w="95" w:type="dxa"/>
            </w:tcMar>
          </w:tcPr>
          <w:p>
            <w:pPr>
              <w:pStyle w:val="TableBody"/>
              <w:keepNext w:val="0"/>
            </w:pPr>
            <w:r>
              <w:t>totalReceived / totalPaid</w:t>
            </w:r>
          </w:p>
        </w:tc>
        <w:tc>
          <w:tcPr>
            <w:tcW w:type="dxa" w:w="7776"/>
            <w:vAlign w:val="center"/>
            <w:tcMar>
              <w:top w:w="80" w:type="dxa"/>
              <w:bottom w:w="80" w:type="dxa"/>
              <w:left w:w="95" w:type="dxa"/>
              <w:right w:w="95" w:type="dxa"/>
            </w:tcMar>
          </w:tcPr>
          <w:p>
            <w:pPr>
              <w:pStyle w:val="TableBody"/>
              <w:keepNext w:val="0"/>
            </w:pPr>
            <w:r>
              <w:t>Both 910704, or 0.00910704 BEM</w:t>
            </w:r>
          </w:p>
        </w:tc>
      </w:tr>
      <w:tr>
        <w:trPr>
          <w:cantSplit/>
        </w:trPr>
        <w:tc>
          <w:tcPr>
            <w:tcW w:type="dxa" w:w="2448"/>
            <w:vAlign w:val="center"/>
            <w:tcMar>
              <w:top w:w="80" w:type="dxa"/>
              <w:bottom w:w="80" w:type="dxa"/>
              <w:left w:w="95" w:type="dxa"/>
              <w:right w:w="95" w:type="dxa"/>
            </w:tcMar>
          </w:tcPr>
          <w:p>
            <w:pPr>
              <w:pStyle w:val="TableBody"/>
              <w:keepNext w:val="0"/>
            </w:pPr>
            <w:r>
              <w:t>claimed[1] / claimed[2]</w:t>
            </w:r>
          </w:p>
        </w:tc>
        <w:tc>
          <w:tcPr>
            <w:tcW w:type="dxa" w:w="7776"/>
            <w:vAlign w:val="center"/>
            <w:tcMar>
              <w:top w:w="80" w:type="dxa"/>
              <w:bottom w:w="80" w:type="dxa"/>
              <w:left w:w="95" w:type="dxa"/>
              <w:right w:w="95" w:type="dxa"/>
            </w:tcMar>
          </w:tcPr>
          <w:p>
            <w:pPr>
              <w:pStyle w:val="TableBody"/>
              <w:keepNext w:val="0"/>
            </w:pPr>
            <w:r>
              <w:t>Both 455352, or 0.00455352 BEM; history not reset</w:t>
            </w:r>
          </w:p>
        </w:tc>
      </w:tr>
    </w:tbl>
    <w:p>
      <w:pPr>
        <w:spacing w:after="40" w:before="0" w:line="40" w:lineRule="exact"/>
      </w:pPr>
      <w:r>
        <w:rPr>
          <w:sz w:val="4"/>
        </w:rPr>
      </w:r>
    </w:p>
    <w:p>
      <w:r>
        <w:t>Consolidation only required B's #2 to move to A. Once A held both shares, redeemMiner() internally settled the fixed list [1, 2], recovering the miner and all settleable BEM in one redemption transaction. Shares were burned after settlement; the Vault is no longer in normal custody/claim mode.</w:t>
      </w:r>
    </w:p>
    <w:p>
      <w:r>
        <w:t>External Mining pending at the fixed post-redemption block was 0. After the miner leaves the Vault, subsequent rewards concern the external miner state and cannot continue to be treated as claimable entitlement in this closed Vault.</w:t>
      </w:r>
    </w:p>
    <w:p>
      <w:pPr>
        <w:pStyle w:val="Heading1"/>
      </w:pPr>
      <w:r>
        <w:t>4 Cumulative reconciliation since contract creation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232"/>
        <w:gridCol w:w="6840"/>
      </w:tblGrid>
      <w:tr>
        <w:trPr>
          <w:cantSplit/>
          <w:tblHeader w:val="1"/>
        </w:trPr>
        <w:tc>
          <w:tcPr>
            <w:tcW w:type="dxa" w:w="1152"/>
            <w:vAlign w:val="center"/>
            <w:tcMar>
              <w:top w:w="80" w:type="dxa"/>
              <w:bottom w:w="80" w:type="dxa"/>
              <w:left w:w="95" w:type="dxa"/>
              <w:right w:w="95" w:type="dxa"/>
            </w:tcMar>
            <w:shd w:fill="EDEDED"/>
          </w:tcPr>
          <w:p>
            <w:pPr>
              <w:pStyle w:val="TableBody"/>
              <w:keepNext w:val="0"/>
            </w:pPr>
            <w:r>
              <w:rPr>
                <w:b/>
              </w:rPr>
              <w:t>Reward ID</w:t>
            </w:r>
          </w:p>
        </w:tc>
        <w:tc>
          <w:tcPr>
            <w:tcW w:type="dxa" w:w="2232"/>
            <w:vAlign w:val="center"/>
            <w:tcMar>
              <w:top w:w="80" w:type="dxa"/>
              <w:bottom w:w="80" w:type="dxa"/>
              <w:left w:w="95" w:type="dxa"/>
              <w:right w:w="95" w:type="dxa"/>
            </w:tcMar>
            <w:shd w:fill="EDEDED"/>
          </w:tcPr>
          <w:p>
            <w:pPr>
              <w:pStyle w:val="TableBody"/>
              <w:keepNext w:val="0"/>
            </w:pPr>
            <w:r>
              <w:rPr>
                <w:b/>
              </w:rPr>
              <w:t>Cumulative claimed integer</w:t>
            </w:r>
          </w:p>
        </w:tc>
        <w:tc>
          <w:tcPr>
            <w:tcW w:type="dxa" w:w="6840"/>
            <w:vAlign w:val="center"/>
            <w:tcMar>
              <w:top w:w="80" w:type="dxa"/>
              <w:bottom w:w="80" w:type="dxa"/>
              <w:left w:w="95" w:type="dxa"/>
              <w:right w:w="95" w:type="dxa"/>
            </w:tcMar>
            <w:shd w:fill="EDEDED"/>
          </w:tcPr>
          <w:p>
            <w:pPr>
              <w:pStyle w:val="TableBody"/>
              <w:keepNext w:val="0"/>
            </w:pPr>
            <w:r>
              <w:rPr>
                <w:b/>
              </w:rPr>
              <w:t>Amount and recipient allocation</w:t>
            </w:r>
          </w:p>
        </w:tc>
      </w:tr>
      <w:tr>
        <w:trPr>
          <w:cantSplit/>
        </w:trPr>
        <w:tc>
          <w:tcPr>
            <w:tcW w:type="dxa" w:w="1152"/>
            <w:vAlign w:val="center"/>
            <w:tcMar>
              <w:top w:w="80" w:type="dxa"/>
              <w:bottom w:w="80" w:type="dxa"/>
              <w:left w:w="95" w:type="dxa"/>
              <w:right w:w="95" w:type="dxa"/>
            </w:tcMar>
          </w:tcPr>
          <w:p>
            <w:pPr>
              <w:pStyle w:val="TableBody"/>
              <w:keepNext w:val="0"/>
            </w:pPr>
            <w:r>
              <w:t>#1</w:t>
            </w:r>
          </w:p>
        </w:tc>
        <w:tc>
          <w:tcPr>
            <w:tcW w:type="dxa" w:w="2232"/>
            <w:vAlign w:val="center"/>
            <w:tcMar>
              <w:top w:w="80" w:type="dxa"/>
              <w:bottom w:w="80" w:type="dxa"/>
              <w:left w:w="95" w:type="dxa"/>
              <w:right w:w="95" w:type="dxa"/>
            </w:tcMar>
          </w:tcPr>
          <w:p>
            <w:pPr>
              <w:pStyle w:val="TableBody"/>
              <w:keepNext w:val="0"/>
              <w:jc w:val="center"/>
            </w:pPr>
            <w:r>
              <w:t>455352</w:t>
            </w:r>
          </w:p>
        </w:tc>
        <w:tc>
          <w:tcPr>
            <w:tcW w:type="dxa" w:w="6840"/>
            <w:vAlign w:val="center"/>
            <w:tcMar>
              <w:top w:w="80" w:type="dxa"/>
              <w:bottom w:w="80" w:type="dxa"/>
              <w:left w:w="95" w:type="dxa"/>
              <w:right w:w="95" w:type="dxa"/>
            </w:tcMar>
          </w:tcPr>
          <w:p>
            <w:pPr>
              <w:pStyle w:val="TableBody"/>
              <w:keepNext w:val="0"/>
            </w:pPr>
            <w:r>
              <w:t>0.00455352 BEM; A received 0.00351447, owner received 0.00103905</w:t>
            </w:r>
          </w:p>
        </w:tc>
      </w:tr>
      <w:tr>
        <w:trPr>
          <w:cantSplit/>
        </w:trPr>
        <w:tc>
          <w:tcPr>
            <w:tcW w:type="dxa" w:w="1152"/>
            <w:vAlign w:val="center"/>
            <w:tcMar>
              <w:top w:w="80" w:type="dxa"/>
              <w:bottom w:w="80" w:type="dxa"/>
              <w:left w:w="95" w:type="dxa"/>
              <w:right w:w="95" w:type="dxa"/>
            </w:tcMar>
          </w:tcPr>
          <w:p>
            <w:pPr>
              <w:pStyle w:val="TableBody"/>
              <w:keepNext w:val="0"/>
            </w:pPr>
            <w:r>
              <w:t>#2</w:t>
            </w:r>
          </w:p>
        </w:tc>
        <w:tc>
          <w:tcPr>
            <w:tcW w:type="dxa" w:w="2232"/>
            <w:vAlign w:val="center"/>
            <w:tcMar>
              <w:top w:w="80" w:type="dxa"/>
              <w:bottom w:w="80" w:type="dxa"/>
              <w:left w:w="95" w:type="dxa"/>
              <w:right w:w="95" w:type="dxa"/>
            </w:tcMar>
          </w:tcPr>
          <w:p>
            <w:pPr>
              <w:pStyle w:val="TableBody"/>
              <w:keepNext w:val="0"/>
              <w:jc w:val="center"/>
            </w:pPr>
            <w:r>
              <w:t>455352</w:t>
            </w:r>
          </w:p>
        </w:tc>
        <w:tc>
          <w:tcPr>
            <w:tcW w:type="dxa" w:w="6840"/>
            <w:vAlign w:val="center"/>
            <w:tcMar>
              <w:top w:w="80" w:type="dxa"/>
              <w:bottom w:w="80" w:type="dxa"/>
              <w:left w:w="95" w:type="dxa"/>
              <w:right w:w="95" w:type="dxa"/>
            </w:tcMar>
          </w:tcPr>
          <w:p>
            <w:pPr>
              <w:pStyle w:val="TableBody"/>
              <w:keepNext w:val="0"/>
            </w:pPr>
            <w:r>
              <w:t>0.00455352 BEM; B received 0.00437579, A received 0.00017773 this round</w:t>
            </w:r>
          </w:p>
        </w:tc>
      </w:tr>
      <w:tr>
        <w:trPr>
          <w:cantSplit/>
        </w:trPr>
        <w:tc>
          <w:tcPr>
            <w:tcW w:type="dxa" w:w="1152"/>
            <w:vAlign w:val="center"/>
            <w:tcMar>
              <w:top w:w="80" w:type="dxa"/>
              <w:bottom w:w="80" w:type="dxa"/>
              <w:left w:w="95" w:type="dxa"/>
              <w:right w:w="95" w:type="dxa"/>
            </w:tcMar>
          </w:tcPr>
          <w:p>
            <w:pPr>
              <w:pStyle w:val="TableBody"/>
              <w:keepNext w:val="0"/>
            </w:pPr>
            <w:r>
              <w:t>Total</w:t>
            </w:r>
          </w:p>
        </w:tc>
        <w:tc>
          <w:tcPr>
            <w:tcW w:type="dxa" w:w="2232"/>
            <w:vAlign w:val="center"/>
            <w:tcMar>
              <w:top w:w="80" w:type="dxa"/>
              <w:bottom w:w="80" w:type="dxa"/>
              <w:left w:w="95" w:type="dxa"/>
              <w:right w:w="95" w:type="dxa"/>
            </w:tcMar>
          </w:tcPr>
          <w:p>
            <w:pPr>
              <w:pStyle w:val="TableBody"/>
              <w:keepNext w:val="0"/>
              <w:jc w:val="center"/>
            </w:pPr>
            <w:r>
              <w:t>910704</w:t>
            </w:r>
          </w:p>
        </w:tc>
        <w:tc>
          <w:tcPr>
            <w:tcW w:type="dxa" w:w="6840"/>
            <w:vAlign w:val="center"/>
            <w:tcMar>
              <w:top w:w="80" w:type="dxa"/>
              <w:bottom w:w="80" w:type="dxa"/>
              <w:left w:w="95" w:type="dxa"/>
              <w:right w:w="95" w:type="dxa"/>
            </w:tcMar>
          </w:tcPr>
          <w:p>
            <w:pPr>
              <w:pStyle w:val="TableBody"/>
              <w:keepNext w:val="0"/>
            </w:pPr>
            <w:r>
              <w:t>0.00910704 BEM, equal to cumulative Vault receipts and payments</w:t>
            </w:r>
          </w:p>
        </w:tc>
      </w:tr>
    </w:tbl>
    <w:p>
      <w:pPr>
        <w:spacing w:after="40" w:before="0" w:line="40" w:lineRule="exact"/>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088"/>
        <w:gridCol w:w="3456"/>
      </w:tblGrid>
      <w:tr>
        <w:trPr>
          <w:cantSplit/>
          <w:tblHeader w:val="1"/>
        </w:trPr>
        <w:tc>
          <w:tcPr>
            <w:tcW w:type="dxa" w:w="4680"/>
            <w:vAlign w:val="center"/>
            <w:tcMar>
              <w:top w:w="80" w:type="dxa"/>
              <w:bottom w:w="80" w:type="dxa"/>
              <w:left w:w="95" w:type="dxa"/>
              <w:right w:w="95" w:type="dxa"/>
            </w:tcMar>
            <w:shd w:fill="EDEDED"/>
          </w:tcPr>
          <w:p>
            <w:pPr>
              <w:pStyle w:val="TableBody"/>
              <w:keepNext w:val="0"/>
            </w:pPr>
            <w:r>
              <w:rPr>
                <w:b/>
              </w:rPr>
              <w:t>Recipient wallet</w:t>
            </w:r>
          </w:p>
        </w:tc>
        <w:tc>
          <w:tcPr>
            <w:tcW w:type="dxa" w:w="2088"/>
            <w:vAlign w:val="center"/>
            <w:tcMar>
              <w:top w:w="80" w:type="dxa"/>
              <w:bottom w:w="80" w:type="dxa"/>
              <w:left w:w="95" w:type="dxa"/>
              <w:right w:w="95" w:type="dxa"/>
            </w:tcMar>
            <w:shd w:fill="EDEDED"/>
          </w:tcPr>
          <w:p>
            <w:pPr>
              <w:pStyle w:val="TableBody"/>
              <w:keepNext w:val="0"/>
            </w:pPr>
            <w:r>
              <w:rPr>
                <w:b/>
              </w:rPr>
              <w:t>Cumulative receipt integer</w:t>
            </w:r>
          </w:p>
        </w:tc>
        <w:tc>
          <w:tcPr>
            <w:tcW w:type="dxa" w:w="3456"/>
            <w:vAlign w:val="center"/>
            <w:tcMar>
              <w:top w:w="80" w:type="dxa"/>
              <w:bottom w:w="80" w:type="dxa"/>
              <w:left w:w="95" w:type="dxa"/>
              <w:right w:w="95" w:type="dxa"/>
            </w:tcMar>
            <w:shd w:fill="EDEDED"/>
          </w:tcPr>
          <w:p>
            <w:pPr>
              <w:pStyle w:val="TableBody"/>
              <w:keepNext w:val="0"/>
            </w:pPr>
            <w:r>
              <w:rPr>
                <w:b/>
              </w:rPr>
              <w:t>Cumulative BEM from Vault</w:t>
            </w:r>
          </w:p>
        </w:tc>
      </w:tr>
      <w:tr>
        <w:trPr>
          <w:cantSplit/>
        </w:trPr>
        <w:tc>
          <w:tcPr>
            <w:tcW w:type="dxa" w:w="4680"/>
            <w:vAlign w:val="center"/>
            <w:tcMar>
              <w:top w:w="80" w:type="dxa"/>
              <w:bottom w:w="80" w:type="dxa"/>
              <w:left w:w="95" w:type="dxa"/>
              <w:right w:w="95" w:type="dxa"/>
            </w:tcMar>
          </w:tcPr>
          <w:p>
            <w:pPr>
              <w:pStyle w:val="TableBody"/>
              <w:keepNext w:val="0"/>
            </w:pPr>
            <w:r>
              <w:t>A</w:t>
            </w:r>
          </w:p>
        </w:tc>
        <w:tc>
          <w:tcPr>
            <w:tcW w:type="dxa" w:w="2088"/>
            <w:vAlign w:val="center"/>
            <w:tcMar>
              <w:top w:w="80" w:type="dxa"/>
              <w:bottom w:w="80" w:type="dxa"/>
              <w:left w:w="95" w:type="dxa"/>
              <w:right w:w="95" w:type="dxa"/>
            </w:tcMar>
          </w:tcPr>
          <w:p>
            <w:pPr>
              <w:pStyle w:val="TableBody"/>
              <w:keepNext w:val="0"/>
              <w:jc w:val="center"/>
            </w:pPr>
            <w:r>
              <w:t>369220</w:t>
            </w:r>
          </w:p>
        </w:tc>
        <w:tc>
          <w:tcPr>
            <w:tcW w:type="dxa" w:w="3456"/>
            <w:vAlign w:val="center"/>
            <w:tcMar>
              <w:top w:w="80" w:type="dxa"/>
              <w:bottom w:w="80" w:type="dxa"/>
              <w:left w:w="95" w:type="dxa"/>
              <w:right w:w="95" w:type="dxa"/>
            </w:tcMar>
          </w:tcPr>
          <w:p>
            <w:pPr>
              <w:pStyle w:val="TableBody"/>
              <w:keepNext w:val="0"/>
              <w:jc w:val="center"/>
            </w:pPr>
            <w:r>
              <w:t>0.00369220</w:t>
            </w:r>
          </w:p>
        </w:tc>
      </w:tr>
      <w:tr>
        <w:trPr>
          <w:cantSplit/>
        </w:trPr>
        <w:tc>
          <w:tcPr>
            <w:tcW w:type="dxa" w:w="4680"/>
            <w:vAlign w:val="center"/>
            <w:tcMar>
              <w:top w:w="80" w:type="dxa"/>
              <w:bottom w:w="80" w:type="dxa"/>
              <w:left w:w="95" w:type="dxa"/>
              <w:right w:w="95" w:type="dxa"/>
            </w:tcMar>
          </w:tcPr>
          <w:p>
            <w:pPr>
              <w:pStyle w:val="TableBody"/>
              <w:keepNext w:val="0"/>
            </w:pPr>
            <w:r>
              <w:t>owner</w:t>
            </w:r>
          </w:p>
        </w:tc>
        <w:tc>
          <w:tcPr>
            <w:tcW w:type="dxa" w:w="2088"/>
            <w:vAlign w:val="center"/>
            <w:tcMar>
              <w:top w:w="80" w:type="dxa"/>
              <w:bottom w:w="80" w:type="dxa"/>
              <w:left w:w="95" w:type="dxa"/>
              <w:right w:w="95" w:type="dxa"/>
            </w:tcMar>
          </w:tcPr>
          <w:p>
            <w:pPr>
              <w:pStyle w:val="TableBody"/>
              <w:keepNext w:val="0"/>
              <w:jc w:val="center"/>
            </w:pPr>
            <w:r>
              <w:t>103905</w:t>
            </w:r>
          </w:p>
        </w:tc>
        <w:tc>
          <w:tcPr>
            <w:tcW w:type="dxa" w:w="3456"/>
            <w:vAlign w:val="center"/>
            <w:tcMar>
              <w:top w:w="80" w:type="dxa"/>
              <w:bottom w:w="80" w:type="dxa"/>
              <w:left w:w="95" w:type="dxa"/>
              <w:right w:w="95" w:type="dxa"/>
            </w:tcMar>
          </w:tcPr>
          <w:p>
            <w:pPr>
              <w:pStyle w:val="TableBody"/>
              <w:keepNext w:val="0"/>
              <w:jc w:val="center"/>
            </w:pPr>
            <w:r>
              <w:t>0.00103905</w:t>
            </w:r>
          </w:p>
        </w:tc>
      </w:tr>
      <w:tr>
        <w:trPr>
          <w:cantSplit/>
        </w:trPr>
        <w:tc>
          <w:tcPr>
            <w:tcW w:type="dxa" w:w="4680"/>
            <w:vAlign w:val="center"/>
            <w:tcMar>
              <w:top w:w="80" w:type="dxa"/>
              <w:bottom w:w="80" w:type="dxa"/>
              <w:left w:w="95" w:type="dxa"/>
              <w:right w:w="95" w:type="dxa"/>
            </w:tcMar>
          </w:tcPr>
          <w:p>
            <w:pPr>
              <w:pStyle w:val="TableBody"/>
              <w:keepNext w:val="0"/>
            </w:pPr>
            <w:r>
              <w:t>B</w:t>
            </w:r>
          </w:p>
        </w:tc>
        <w:tc>
          <w:tcPr>
            <w:tcW w:type="dxa" w:w="2088"/>
            <w:vAlign w:val="center"/>
            <w:tcMar>
              <w:top w:w="80" w:type="dxa"/>
              <w:bottom w:w="80" w:type="dxa"/>
              <w:left w:w="95" w:type="dxa"/>
              <w:right w:w="95" w:type="dxa"/>
            </w:tcMar>
          </w:tcPr>
          <w:p>
            <w:pPr>
              <w:pStyle w:val="TableBody"/>
              <w:keepNext w:val="0"/>
              <w:jc w:val="center"/>
            </w:pPr>
            <w:r>
              <w:t>437579</w:t>
            </w:r>
          </w:p>
        </w:tc>
        <w:tc>
          <w:tcPr>
            <w:tcW w:type="dxa" w:w="3456"/>
            <w:vAlign w:val="center"/>
            <w:tcMar>
              <w:top w:w="80" w:type="dxa"/>
              <w:bottom w:w="80" w:type="dxa"/>
              <w:left w:w="95" w:type="dxa"/>
              <w:right w:w="95" w:type="dxa"/>
            </w:tcMar>
          </w:tcPr>
          <w:p>
            <w:pPr>
              <w:pStyle w:val="TableBody"/>
              <w:keepNext w:val="0"/>
              <w:jc w:val="center"/>
            </w:pPr>
            <w:r>
              <w:t>0.00437579</w:t>
            </w:r>
          </w:p>
        </w:tc>
      </w:tr>
      <w:tr>
        <w:trPr>
          <w:cantSplit/>
        </w:trPr>
        <w:tc>
          <w:tcPr>
            <w:tcW w:type="dxa" w:w="4680"/>
            <w:vAlign w:val="center"/>
            <w:tcMar>
              <w:top w:w="80" w:type="dxa"/>
              <w:bottom w:w="80" w:type="dxa"/>
              <w:left w:w="95" w:type="dxa"/>
              <w:right w:w="95" w:type="dxa"/>
            </w:tcMar>
          </w:tcPr>
          <w:p>
            <w:pPr>
              <w:pStyle w:val="TableBody"/>
              <w:keepNext w:val="0"/>
            </w:pPr>
            <w:r>
              <w:t>Total</w:t>
            </w:r>
          </w:p>
        </w:tc>
        <w:tc>
          <w:tcPr>
            <w:tcW w:type="dxa" w:w="2088"/>
            <w:vAlign w:val="center"/>
            <w:tcMar>
              <w:top w:w="80" w:type="dxa"/>
              <w:bottom w:w="80" w:type="dxa"/>
              <w:left w:w="95" w:type="dxa"/>
              <w:right w:w="95" w:type="dxa"/>
            </w:tcMar>
          </w:tcPr>
          <w:p>
            <w:pPr>
              <w:pStyle w:val="TableBody"/>
              <w:keepNext w:val="0"/>
              <w:jc w:val="center"/>
            </w:pPr>
            <w:r>
              <w:t>910704</w:t>
            </w:r>
          </w:p>
        </w:tc>
        <w:tc>
          <w:tcPr>
            <w:tcW w:type="dxa" w:w="3456"/>
            <w:vAlign w:val="center"/>
            <w:tcMar>
              <w:top w:w="80" w:type="dxa"/>
              <w:bottom w:w="80" w:type="dxa"/>
              <w:left w:w="95" w:type="dxa"/>
              <w:right w:w="95" w:type="dxa"/>
            </w:tcMar>
          </w:tcPr>
          <w:p>
            <w:pPr>
              <w:pStyle w:val="TableBody"/>
              <w:keepNext w:val="0"/>
              <w:jc w:val="center"/>
            </w:pPr>
            <w:r>
              <w:t>0.00910704</w:t>
            </w:r>
          </w:p>
        </w:tc>
      </w:tr>
    </w:tbl>
    <w:p>
      <w:pPr>
        <w:spacing w:after="40" w:before="0" w:line="40" w:lineRule="exact"/>
      </w:pPr>
      <w:r>
        <w:rPr>
          <w:sz w:val="4"/>
        </w:rPr>
      </w:r>
    </w:p>
    <w:p>
      <w:r>
        <w:rPr>
          <w:b/>
        </w:rPr>
        <w:t>Cumulative claims for the two IDs remain equal; cumulative wallet receipts need not be equal.</w:t>
      </w:r>
      <w:r>
        <w:t xml:space="preserve"> After NFT transfer, the new holder claims the corresponding ID's unclaimed entitlement. Amounts historically paid to former holders remain recorded. Because A also claimed #2 this round, the earlier report's “A + owner versus B” comparison can no longer test share equality. Aggregate by ID from RewardClaimed, then separately aggregate by recipient address.</w:t>
      </w:r>
    </w:p>
    <w:p>
      <w:pPr>
        <w:pStyle w:val="Heading1"/>
      </w:pPr>
      <w:r>
        <w:t>5 Can 45 and 55 of 100 IDs each be claimed in one transaction</w:t>
      </w:r>
    </w:p>
    <w:p>
      <w:r>
        <w:rPr>
          <w:b/>
        </w:rPr>
        <w:t>This can be implemented in a 100-share version: A submits its 45 IDs and B submits its 55 IDs, each in one batch claim transaction.</w:t>
      </w:r>
      <w:r>
        <w:t xml:space="preserve"> A frontend “claim all” button can first retrieve currently held IDs, then submit them together. The contract checks ownership per ID, deducts that ID's historical claims, and combines payment.</w:t>
      </w:r>
    </w:p>
    <w:p>
      <w:r>
        <w:t>Claim amount = sum, over submitted IDs, of “cumulative entitlement − that ID's historical claimed amount.”</w:t>
      </w:r>
    </w:p>
    <w:p>
      <w:r>
        <w:t>If 100 IDs each have one unit and equal weight, A receives 45% of newly allocated rewards and B 55%. Historical unclaimed amounts and transferred entitlements still require per-ID accounting. The current contract balance cannot simply be multiplied by 45% or 55%.</w:t>
      </w:r>
    </w:p>
    <w:p>
      <w:r>
        <w:t>Use claimBatch(ids) for entitlement already in the Vault. To include new miner rewards, use harvestAndClaim(ids), which harvests before batch settlement. “One transaction” means one for each address and still requires its complete intended ID list. Owning multiple NFTs does not make a single-ID call automatically claim the remaining IDs.</w:t>
      </w:r>
    </w:p>
    <w:p>
      <w:r>
        <w:rPr>
          <w:b/>
        </w:rPr>
        <w:t>The currently deployed version supports only #1 and #2, at most 2 batch entries, and a fixed allocation denominator of 2.</w:t>
      </w:r>
      <w:r>
        <w:t xml:space="preserve"> A 100-share version requires changing these limits, implementing complete duplicate rejection and per-ID authority checks, and testing gas, simulations, and target-chain execution limits with actual 45 / 55 entry sizes. This two-share mainnet redemption does not prove that a 100-share version exists or fits one transaction's gas limit.</w:t>
      </w:r>
    </w:p>
    <w:p>
      <w:r>
        <w:t xml:space="preserve">Code basis: src/TestMinerVault.sol lines 155–156 (allocation), 174–199 (batch claiming), 210–229 (redemption), and 304–305 (ID restrictions). ERC-1155 defines transfers, balances, and events; reward claiming logic comes from this project's contract. Held IDs can be obtained by querying known IDs or indexing events. See the </w:t>
      </w:r>
      <w:hyperlink r:id="rId11">
        <w:r>
          <w:rPr>
            <w:color w:val="1F4E79"/>
            <w:u w:val="single"/>
            <w:sz w:val="21"/>
          </w:rPr>
          <w:t>ERC-1155 standard</w:t>
        </w:r>
      </w:hyperlink>
      <w:r>
        <w:t>.</w:t>
      </w:r>
    </w:p>
    <w:p>
      <w:pPr>
        <w:pStyle w:val="Heading1"/>
      </w:pPr>
      <w:r>
        <w:t>6 Evidence scope and unexercised cases</w:t>
      </w:r>
    </w:p>
    <w:p>
      <w:r>
        <w:t>This round's result is VERIFIED_FULL_REDEMPTION, with every verification check passed. Evidence includes both original on-chain transactions and receipts, four fixed-block snapshots around consolidation and redemption, Vault/BEM event scans, and rechecks that block hashes had not changed. Fixed-block snapshots are end-of-block states. This round's scan found no Vault operations beyond consolidation/redemption and no additional BEM inflows or payments.</w:t>
      </w:r>
    </w:p>
    <w:p>
      <w:r>
        <w:t>Cumulative history uses the verified first-four-round baseline (block 125712665) plus this round's complete interval scan (125712666–125717060). This execution did not rescan all history from deployment. The original baseline's content hash and cutoff block hash were recorded. Earlier four-round reports retain their original cutoffs; this report extends the cumulative ledger through completed redemption.</w:t>
      </w:r>
    </w:p>
    <w:p>
      <w:r>
        <w:t>The Vault's pre-redemption balance was 0. This verifies “new Mining rewards enter the Vault and are paid in full to A,” but does not cover the mainnet combination of a pre-existing positive Vault balance plus new Mining rewards. Remainder was 0, so nonzero dust payment was not tested on mainnet. The report collector passed 10 offline tests, including checks for missing payment/burn, wrong recipient, reset history, abnormal inflow, and nonzero dust. Offline tests do not imply those scenarios executed on mainnet.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Material</w:t>
            </w:r>
          </w:p>
        </w:tc>
        <w:tc>
          <w:tcPr>
            <w:tcW w:type="dxa" w:w="7776"/>
            <w:vAlign w:val="center"/>
            <w:tcMar>
              <w:top w:w="80" w:type="dxa"/>
              <w:bottom w:w="80" w:type="dxa"/>
              <w:left w:w="95" w:type="dxa"/>
              <w:right w:w="95" w:type="dxa"/>
            </w:tcMar>
            <w:shd w:fill="EDEDED"/>
          </w:tcPr>
          <w:p>
            <w:pPr>
              <w:pStyle w:val="TableBody"/>
              <w:keepNext w:val="0"/>
            </w:pPr>
            <w:r>
              <w:rPr>
                <w:b/>
              </w:rPr>
              <w:t>Path within project</w:t>
            </w:r>
          </w:p>
        </w:tc>
      </w:tr>
      <w:tr>
        <w:trPr>
          <w:cantSplit/>
        </w:trPr>
        <w:tc>
          <w:tcPr>
            <w:tcW w:type="dxa" w:w="2448"/>
            <w:vAlign w:val="center"/>
            <w:tcMar>
              <w:top w:w="80" w:type="dxa"/>
              <w:bottom w:w="80" w:type="dxa"/>
              <w:left w:w="95" w:type="dxa"/>
              <w:right w:w="95" w:type="dxa"/>
            </w:tcMar>
          </w:tcPr>
          <w:p>
            <w:pPr>
              <w:pStyle w:val="TableBody"/>
              <w:keepNext w:val="0"/>
            </w:pPr>
            <w:r>
              <w:t>Full public evidence this round</w:t>
            </w:r>
          </w:p>
        </w:tc>
        <w:tc>
          <w:tcPr>
            <w:tcW w:type="dxa" w:w="7776"/>
            <w:vAlign w:val="center"/>
            <w:tcMar>
              <w:top w:w="80" w:type="dxa"/>
              <w:bottom w:w="80" w:type="dxa"/>
              <w:left w:w="95" w:type="dxa"/>
              <w:right w:w="95" w:type="dxa"/>
            </w:tcMar>
          </w:tcPr>
          <w:p>
            <w:pPr>
              <w:pStyle w:val="TableBody"/>
              <w:keepNext w:val="0"/>
            </w:pPr>
            <w:r>
              <w:t>reports/live-redeem-report.json</w:t>
            </w:r>
          </w:p>
        </w:tc>
      </w:tr>
      <w:tr>
        <w:trPr>
          <w:cantSplit/>
        </w:trPr>
        <w:tc>
          <w:tcPr>
            <w:tcW w:type="dxa" w:w="2448"/>
            <w:vAlign w:val="center"/>
            <w:tcMar>
              <w:top w:w="80" w:type="dxa"/>
              <w:bottom w:w="80" w:type="dxa"/>
              <w:left w:w="95" w:type="dxa"/>
              <w:right w:w="95" w:type="dxa"/>
            </w:tcMar>
          </w:tcPr>
          <w:p>
            <w:pPr>
              <w:pStyle w:val="TableBody"/>
              <w:keepNext w:val="0"/>
            </w:pPr>
            <w:r>
              <w:t>Itemized verification record</w:t>
            </w:r>
          </w:p>
        </w:tc>
        <w:tc>
          <w:tcPr>
            <w:tcW w:type="dxa" w:w="7776"/>
            <w:vAlign w:val="center"/>
            <w:tcMar>
              <w:top w:w="80" w:type="dxa"/>
              <w:bottom w:w="80" w:type="dxa"/>
              <w:left w:w="95" w:type="dxa"/>
              <w:right w:w="95" w:type="dxa"/>
            </w:tcMar>
          </w:tcPr>
          <w:p>
            <w:pPr>
              <w:pStyle w:val="TableBody"/>
              <w:keepNext w:val="0"/>
            </w:pPr>
            <w:r>
              <w:t>reports/live-redeem-report.md</w:t>
            </w:r>
          </w:p>
        </w:tc>
      </w:tr>
      <w:tr>
        <w:trPr>
          <w:cantSplit/>
        </w:trPr>
        <w:tc>
          <w:tcPr>
            <w:tcW w:type="dxa" w:w="2448"/>
            <w:vAlign w:val="center"/>
            <w:tcMar>
              <w:top w:w="80" w:type="dxa"/>
              <w:bottom w:w="80" w:type="dxa"/>
              <w:left w:w="95" w:type="dxa"/>
              <w:right w:w="95" w:type="dxa"/>
            </w:tcMar>
          </w:tcPr>
          <w:p>
            <w:pPr>
              <w:pStyle w:val="TableBody"/>
              <w:keepNext w:val="0"/>
            </w:pPr>
            <w:r>
              <w:t>Independent receipt parsing</w:t>
            </w:r>
          </w:p>
        </w:tc>
        <w:tc>
          <w:tcPr>
            <w:tcW w:type="dxa" w:w="7776"/>
            <w:vAlign w:val="center"/>
            <w:tcMar>
              <w:top w:w="80" w:type="dxa"/>
              <w:bottom w:w="80" w:type="dxa"/>
              <w:left w:w="95" w:type="dxa"/>
              <w:right w:w="95" w:type="dxa"/>
            </w:tcMar>
          </w:tcPr>
          <w:p>
            <w:pPr>
              <w:pStyle w:val="TableBody"/>
              <w:keepNext w:val="0"/>
            </w:pPr>
            <w:r>
              <w:t>reports/live-redeem-receipt-inspection.json</w:t>
            </w:r>
          </w:p>
        </w:tc>
      </w:tr>
      <w:tr>
        <w:trPr>
          <w:cantSplit/>
        </w:trPr>
        <w:tc>
          <w:tcPr>
            <w:tcW w:type="dxa" w:w="2448"/>
            <w:vAlign w:val="center"/>
            <w:tcMar>
              <w:top w:w="80" w:type="dxa"/>
              <w:bottom w:w="80" w:type="dxa"/>
              <w:left w:w="95" w:type="dxa"/>
              <w:right w:w="95" w:type="dxa"/>
            </w:tcMar>
          </w:tcPr>
          <w:p>
            <w:pPr>
              <w:pStyle w:val="TableBody"/>
              <w:keepNext w:val="0"/>
            </w:pPr>
            <w:r>
              <w:t>Previous verified baseline</w:t>
            </w:r>
          </w:p>
        </w:tc>
        <w:tc>
          <w:tcPr>
            <w:tcW w:type="dxa" w:w="7776"/>
            <w:vAlign w:val="center"/>
            <w:tcMar>
              <w:top w:w="80" w:type="dxa"/>
              <w:bottom w:w="80" w:type="dxa"/>
              <w:left w:w="95" w:type="dxa"/>
              <w:right w:w="95" w:type="dxa"/>
            </w:tcMar>
          </w:tcPr>
          <w:p>
            <w:pPr>
              <w:pStyle w:val="TableBody"/>
              <w:keepNext w:val="0"/>
            </w:pPr>
            <w:r>
              <w:t>reports/live-accrued-transfer-report.json</w:t>
            </w:r>
          </w:p>
        </w:tc>
      </w:tr>
      <w:tr>
        <w:trPr>
          <w:cantSplit/>
        </w:trPr>
        <w:tc>
          <w:tcPr>
            <w:tcW w:type="dxa" w:w="2448"/>
            <w:vAlign w:val="center"/>
            <w:tcMar>
              <w:top w:w="80" w:type="dxa"/>
              <w:bottom w:w="80" w:type="dxa"/>
              <w:left w:w="95" w:type="dxa"/>
              <w:right w:w="95" w:type="dxa"/>
            </w:tcMar>
          </w:tcPr>
          <w:p>
            <w:pPr>
              <w:pStyle w:val="TableBody"/>
              <w:keepNext w:val="0"/>
            </w:pPr>
            <w:r>
              <w:t>Complete first-four-round report</w:t>
            </w:r>
          </w:p>
        </w:tc>
        <w:tc>
          <w:tcPr>
            <w:tcW w:type="dxa" w:w="7776"/>
            <w:vAlign w:val="center"/>
            <w:tcMar>
              <w:top w:w="80" w:type="dxa"/>
              <w:bottom w:w="80" w:type="dxa"/>
              <w:left w:w="95" w:type="dxa"/>
              <w:right w:w="95" w:type="dxa"/>
            </w:tcMar>
          </w:tcPr>
          <w:p>
            <w:pPr>
              <w:pStyle w:val="TableBody"/>
              <w:keepNext w:val="0"/>
            </w:pPr>
            <w:r>
              <w:t>reports/tapeout-complete-test-report.docx</w:t>
            </w:r>
          </w:p>
        </w:tc>
      </w:tr>
      <w:tr>
        <w:trPr>
          <w:cantSplit/>
        </w:trPr>
        <w:tc>
          <w:tcPr>
            <w:tcW w:type="dxa" w:w="2448"/>
            <w:vAlign w:val="center"/>
            <w:tcMar>
              <w:top w:w="80" w:type="dxa"/>
              <w:bottom w:w="80" w:type="dxa"/>
              <w:left w:w="95" w:type="dxa"/>
              <w:right w:w="95" w:type="dxa"/>
            </w:tcMar>
          </w:tcPr>
          <w:p>
            <w:pPr>
              <w:pStyle w:val="TableBody"/>
              <w:keepNext w:val="0"/>
            </w:pPr>
            <w:r>
              <w:t>Report sources and validation record</w:t>
            </w:r>
          </w:p>
        </w:tc>
        <w:tc>
          <w:tcPr>
            <w:tcW w:type="dxa" w:w="7776"/>
            <w:vAlign w:val="center"/>
            <w:tcMar>
              <w:top w:w="80" w:type="dxa"/>
              <w:bottom w:w="80" w:type="dxa"/>
              <w:left w:w="95" w:type="dxa"/>
              <w:right w:w="95" w:type="dxa"/>
            </w:tcMar>
          </w:tcPr>
          <w:p>
            <w:pPr>
              <w:pStyle w:val="TableBody"/>
              <w:keepNext w:val="0"/>
            </w:pPr>
            <w:r>
              <w:t>reports/tapeout-redemption-test-report-evidence-index.json</w:t>
            </w:r>
          </w:p>
        </w:tc>
      </w:tr>
    </w:tbl>
    <w:p>
      <w:pPr>
        <w:spacing w:after="40" w:before="0" w:line="40" w:lineRule="exact"/>
      </w:pPr>
      <w:r>
        <w:rPr>
          <w:sz w:val="4"/>
        </w:rPr>
      </w:r>
    </w:p>
    <w:p>
      <w:r>
        <w:t>These conclusions apply only to the listed contracts, transactions, and cutoff blocks. They do not claim verification of every edge case or a new 100-share version.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after="0" w:before="0" w:line="264"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scscan.com/tx/0x189b173121d493d303f21f0487d0655fc87098788a0646924c6ed7dc796fd383" TargetMode="External"/><Relationship Id="rId10" Type="http://schemas.openxmlformats.org/officeDocument/2006/relationships/hyperlink" Target="https://bscscan.com/tx/0xf9f3825bcdc4ae1c4397479a4c77a16492ce38f230b930655a8c1cffc1657e17" TargetMode="External"/><Relationship Id="rId11" Type="http://schemas.openxmlformats.org/officeDocument/2006/relationships/hyperlink" Target="https://eips.ethereum.org/EIPS/eip-1155#enumerating-from-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TapeOut Round 5 Consolidation and Redemption Test Report</dc:title>
  <dc:subject>TapeOut legacy BSC mainnet tests and evidence</dc:subject>
  <dc:creator>TapeOut</dc:creator>
  <cp:keywords/>
  <dc:description/>
  <cp:lastModifiedBy>TapeOut</cp:lastModifiedBy>
  <cp:revision>1</cp:revision>
  <dcterms:created xsi:type="dcterms:W3CDTF">2026-10-20T00:00:00Z</dcterms:created>
  <dcterms:modified xsi:type="dcterms:W3CDTF">2026-10-20T00:00:00Z</dcterms:modified>
  <cp:category/>
</cp:coreProperties>
</file>