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 w:eastAsia="Heiti SC" w:cs="Arial"/>
          <w:b w:val="0"/>
        </w:rPr>
        <w:t>TapeOut 矿机托管与收益分配完整测试报告</w:t>
      </w:r>
    </w:p>
    <w:p>
      <w:r>
        <w:rPr>
          <w:rFonts w:ascii="Arial" w:hAnsi="Arial" w:eastAsia="Heiti SC" w:cs="Arial"/>
          <w:b w:val="0"/>
        </w:rPr>
        <w:t>报告日期：2026 年 10 月 5 日。网络：BSC 主网，chainId 56。</w:t>
      </w:r>
    </w:p>
    <w:p>
      <w:r>
        <w:rPr>
          <w:rFonts w:ascii="Arial" w:hAnsi="Arial" w:eastAsia="Heiti SC" w:cs="Arial"/>
          <w:b/>
        </w:rPr>
        <w:t>四轮主网收益与权益转移测试全部通过。</w:t>
      </w:r>
      <w:r>
        <w:rPr>
          <w:rFonts w:ascii="Arial" w:hAnsi="Arial" w:eastAsia="Heiti SC" w:cs="Arial"/>
          <w:b w:val="0"/>
        </w:rPr>
        <w:t xml:space="preserve"> 测试验证了独立领取、历史未领收益保留、同批收入累计均分，以及两种未领收益在 NFT 转移后的接续领取。Vault 部署与矿机存入已成功，整个主网流程共记录 12 笔成功交易，其中 7 笔发生 BEM 支付。</w:t>
      </w:r>
    </w:p>
    <w:p>
      <w:r>
        <w:rPr>
          <w:rFonts w:ascii="Arial" w:hAnsi="Arial" w:eastAsia="Heiti SC" w:cs="Arial"/>
          <w:b w:val="0"/>
        </w:rPr>
        <w:t xml:space="preserve">本报告统一汇总部署与存入、四轮主网实测、固定区块权限模拟，以及此前本地合约、CLI 和 UI 验证。主网金额以截止区块 </w:t>
      </w:r>
      <w:r>
        <w:rPr>
          <w:rFonts w:ascii="Arial" w:hAnsi="Arial" w:eastAsia="Heiti SC" w:cs="Arial"/>
          <w:b/>
        </w:rPr>
        <w:t>125712665</w:t>
      </w:r>
      <w:r>
        <w:rPr>
          <w:rFonts w:ascii="Arial" w:hAnsi="Arial" w:eastAsia="Heiti SC" w:cs="Arial"/>
          <w:b w:val="0"/>
        </w:rPr>
        <w:t xml:space="preserve"> 的证据为准，对应北京时间 </w:t>
      </w:r>
      <w:r>
        <w:rPr>
          <w:rFonts w:ascii="Arial" w:hAnsi="Arial" w:eastAsia="Heiti SC" w:cs="Arial"/>
          <w:b/>
        </w:rPr>
        <w:t>2026-10-05 01:01:09</w:t>
      </w:r>
      <w:r>
        <w:rPr>
          <w:rFonts w:ascii="Arial" w:hAnsi="Arial" w:eastAsia="Heiti SC" w:cs="Arial"/>
          <w:b w:val="0"/>
        </w:rPr>
        <w:t>；历史截止状态不代表此刻的最新链上余额。</w:t>
      </w:r>
    </w:p>
    <w:p>
      <w:r>
        <w:rPr>
          <w:rFonts w:ascii="Arial" w:hAnsi="Arial" w:eastAsia="Heiti SC" w:cs="Arial"/>
          <w:b w:val="0"/>
        </w:rPr>
        <w:t xml:space="preserve">截至该区块，Vault 累计收到并支付 </w:t>
      </w:r>
      <w:r>
        <w:rPr>
          <w:rFonts w:ascii="Arial" w:hAnsi="Arial" w:eastAsia="Heiti SC" w:cs="Arial"/>
          <w:b/>
        </w:rPr>
        <w:t>0.00875158 BEM</w:t>
      </w:r>
      <w:r>
        <w:rPr>
          <w:rFonts w:ascii="Arial" w:hAnsi="Arial" w:eastAsia="Heiti SC" w:cs="Arial"/>
          <w:b w:val="0"/>
        </w:rPr>
        <w:t xml:space="preserve">。份额 #1 的历任持有人 A 与 owner 合计领取 </w:t>
      </w:r>
      <w:r>
        <w:rPr>
          <w:rFonts w:ascii="Arial" w:hAnsi="Arial" w:eastAsia="Heiti SC" w:cs="Arial"/>
          <w:b/>
        </w:rPr>
        <w:t>0.00437579 BEM</w:t>
      </w:r>
      <w:r>
        <w:rPr>
          <w:rFonts w:ascii="Arial" w:hAnsi="Arial" w:eastAsia="Heiti SC" w:cs="Arial"/>
          <w:b w:val="0"/>
        </w:rPr>
        <w:t xml:space="preserve">，份额 #2 的 B 累计领取 </w:t>
      </w:r>
      <w:r>
        <w:rPr>
          <w:rFonts w:ascii="Arial" w:hAnsi="Arial" w:eastAsia="Heiti SC" w:cs="Arial"/>
          <w:b/>
        </w:rPr>
        <w:t>0.00437579 BEM</w:t>
      </w:r>
      <w:r>
        <w:rPr>
          <w:rFonts w:ascii="Arial" w:hAnsi="Arial" w:eastAsia="Heiti SC" w:cs="Arial"/>
          <w:b w:val="0"/>
        </w:rPr>
        <w:t>，差额为零。矿机仍在 Vault 中且状态为 Active。</w:t>
      </w:r>
    </w:p>
    <w:p>
      <w:pPr>
        <w:pStyle w:val="Heading1"/>
      </w:pPr>
      <w:r>
        <w:rPr>
          <w:rFonts w:ascii="Arial" w:hAnsi="Arial" w:eastAsia="Heiti SC" w:cs="Arial"/>
          <w:b w:val="0"/>
        </w:rPr>
        <w:t>1 测试对象与统计口径</w:t>
      </w:r>
    </w:p>
    <w:p>
      <w:pPr>
        <w:pStyle w:val="Heading2"/>
      </w:pPr>
      <w:r>
        <w:rPr>
          <w:rFonts w:ascii="Arial" w:hAnsi="Arial" w:eastAsia="Heiti SC" w:cs="Arial"/>
          <w:b w:val="0"/>
        </w:rPr>
        <w:t>合约与账户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90" w:type="dxa"/>
          <w:right w:w="90" w:type="dxa"/>
        </w:tblCellMar>
      </w:tblPr>
      <w:tblGrid>
        <w:gridCol w:w="2189"/>
        <w:gridCol w:w="7891"/>
      </w:tblGrid>
      <w:tr>
        <w:trPr>
          <w:cantSplit/>
          <w:tblHeader/>
        </w:trPr>
        <w:tc>
          <w:tcPr>
            <w:tcW w:type="dxa" w:w="2189"/>
            <w:vAlign w:val="center"/>
            <w:shd w:fill="DDEAF3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/>
                <w:sz w:val="20"/>
              </w:rPr>
              <w:t>对象</w:t>
            </w:r>
          </w:p>
        </w:tc>
        <w:tc>
          <w:tcPr>
            <w:tcW w:type="dxa" w:w="7891"/>
            <w:vAlign w:val="center"/>
            <w:shd w:fill="DDEAF3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/>
                <w:sz w:val="20"/>
              </w:rPr>
              <w:t>地址或标识</w:t>
            </w:r>
          </w:p>
        </w:tc>
      </w:tr>
      <w:tr>
        <w:trPr>
          <w:cantSplit/>
        </w:trPr>
        <w:tc>
          <w:tcPr>
            <w:tcW w:type="dxa" w:w="2189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20"/>
              </w:rPr>
              <w:t>Vault</w:t>
            </w:r>
          </w:p>
        </w:tc>
        <w:tc>
          <w:tcPr>
            <w:tcW w:type="dxa" w:w="7891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18"/>
              </w:rPr>
              <w:t>0x4D42634488E9E9C30D1AbAFd4C5f47b29502E35B</w:t>
            </w:r>
          </w:p>
        </w:tc>
      </w:tr>
      <w:tr>
        <w:trPr>
          <w:cantSplit/>
        </w:trPr>
        <w:tc>
          <w:tcPr>
            <w:tcW w:type="dxa" w:w="2189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20"/>
              </w:rPr>
              <w:t>矿机集合</w:t>
            </w:r>
          </w:p>
        </w:tc>
        <w:tc>
          <w:tcPr>
            <w:tcW w:type="dxa" w:w="7891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18"/>
              </w:rPr>
              <w:t>0xb1024b89886B9a34Aa4ff5F31C411D708b20a14C</w:t>
            </w:r>
          </w:p>
        </w:tc>
      </w:tr>
      <w:tr>
        <w:trPr>
          <w:cantSplit/>
        </w:trPr>
        <w:tc>
          <w:tcPr>
            <w:tcW w:type="dxa" w:w="2189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20"/>
              </w:rPr>
              <w:t>托管矿机</w:t>
            </w:r>
          </w:p>
        </w:tc>
        <w:tc>
          <w:tcPr>
            <w:tcW w:type="dxa" w:w="7891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20"/>
              </w:rPr>
              <w:t>ERC-721 #3204</w:t>
            </w:r>
          </w:p>
        </w:tc>
      </w:tr>
      <w:tr>
        <w:trPr>
          <w:cantSplit/>
        </w:trPr>
        <w:tc>
          <w:tcPr>
            <w:tcW w:type="dxa" w:w="2189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20"/>
              </w:rPr>
              <w:t>Mining</w:t>
            </w:r>
          </w:p>
        </w:tc>
        <w:tc>
          <w:tcPr>
            <w:tcW w:type="dxa" w:w="7891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18"/>
              </w:rPr>
              <w:t>0x7E2E0DC66a3bD9103E69b766afA62d9f7b697b46</w:t>
            </w:r>
          </w:p>
        </w:tc>
      </w:tr>
      <w:tr>
        <w:trPr>
          <w:cantSplit/>
        </w:trPr>
        <w:tc>
          <w:tcPr>
            <w:tcW w:type="dxa" w:w="2189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20"/>
              </w:rPr>
              <w:t>BEM</w:t>
            </w:r>
          </w:p>
        </w:tc>
        <w:tc>
          <w:tcPr>
            <w:tcW w:type="dxa" w:w="7891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18"/>
              </w:rPr>
              <w:t>0x5ce033B2bFCa3Af30b3e8C8457DeaF776A8b695a</w:t>
            </w:r>
          </w:p>
        </w:tc>
      </w:tr>
      <w:tr>
        <w:trPr>
          <w:cantSplit/>
        </w:trPr>
        <w:tc>
          <w:tcPr>
            <w:tcW w:type="dxa" w:w="2189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20"/>
              </w:rPr>
              <w:t>owner / creator</w:t>
            </w:r>
          </w:p>
        </w:tc>
        <w:tc>
          <w:tcPr>
            <w:tcW w:type="dxa" w:w="7891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18"/>
              </w:rPr>
              <w:t>0x7eEDccb674e9549b61B01Eb65aC68DA071ADF129</w:t>
            </w:r>
          </w:p>
        </w:tc>
      </w:tr>
      <w:tr>
        <w:trPr>
          <w:cantSplit/>
        </w:trPr>
        <w:tc>
          <w:tcPr>
            <w:tcW w:type="dxa" w:w="2189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20"/>
              </w:rPr>
              <w:t>钱包 A</w:t>
            </w:r>
          </w:p>
        </w:tc>
        <w:tc>
          <w:tcPr>
            <w:tcW w:type="dxa" w:w="7891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18"/>
              </w:rPr>
              <w:t>0x1b55E6A757987576E1a130A011f9E12498De7DB9</w:t>
            </w:r>
          </w:p>
        </w:tc>
      </w:tr>
      <w:tr>
        <w:trPr>
          <w:cantSplit/>
        </w:trPr>
        <w:tc>
          <w:tcPr>
            <w:tcW w:type="dxa" w:w="2189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20"/>
              </w:rPr>
              <w:t>钱包 B</w:t>
            </w:r>
          </w:p>
        </w:tc>
        <w:tc>
          <w:tcPr>
            <w:tcW w:type="dxa" w:w="7891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18"/>
              </w:rPr>
              <w:t>0x63979C9d5200A5080be93eb440D469d2F2ec6682</w:t>
            </w:r>
          </w:p>
        </w:tc>
      </w:tr>
    </w:tbl>
    <w:p>
      <w:pPr>
        <w:spacing w:after="40" w:line="96" w:lineRule="auto"/>
      </w:pPr>
    </w:p>
    <w:p>
      <w:r>
        <w:rPr>
          <w:rFonts w:ascii="Arial" w:hAnsi="Arial" w:eastAsia="Heiti SC" w:cs="Arial"/>
          <w:b w:val="0"/>
        </w:rPr>
        <w:t>Vault 发行 ERC-1155 份额 #1、#2，各数量 1，每份享有 50% 收益权。初始 #1 属于 A，#2 属于 B；测试中 #1 依次经历 A → owner → A，#2 一直由 B 持有。这里的份额 NFT 与被托管的矿机 ERC-721 #3204 是不同资产。</w:t>
      </w:r>
    </w:p>
    <w:p>
      <w:r>
        <w:rPr>
          <w:rFonts w:ascii="Arial" w:hAnsi="Arial" w:eastAsia="Heiti SC" w:cs="Arial"/>
          <w:b w:val="0"/>
        </w:rPr>
        <w:t>主网 BEM 精度为 8，1 个最小单位等于 0.00000001 BEM。全部金额按原始整数核对，展示时再换算；累计收款仅统计该 Vault 的支付，不包括钱包其他来源收入，也不扣除以 BNB 支付的 Gas。</w:t>
      </w:r>
    </w:p>
    <w:p>
      <w:pPr>
        <w:pStyle w:val="Heading2"/>
      </w:pPr>
      <w:r>
        <w:rPr>
          <w:rFonts w:ascii="Arial" w:hAnsi="Arial" w:eastAsia="Heiti SC" w:cs="Arial"/>
          <w:b w:val="0"/>
        </w:rPr>
        <w:t>收益如何记账</w:t>
      </w:r>
    </w:p>
    <w:p>
      <w:r>
        <w:rPr>
          <w:rFonts w:ascii="Arial" w:hAnsi="Arial" w:eastAsia="Heiti SC" w:cs="Arial"/>
          <w:b w:val="0"/>
        </w:rPr>
        <w:t>Mining 的 pending 是尚未收进 Vault 的收益。执行 harvest 后，以真实 BEM 转入事件和 Vault 账本确认新增到账；harvestAndClaim 先收取，再支付调用者持有份额的可领金额。普通 claim 领取已经到 Vault 的权益，不再收取 Mining pending，但会同步尚未记账的实际到账。</w:t>
      </w:r>
    </w:p>
    <w:p>
      <w:r>
        <w:rPr>
          <w:rFonts w:ascii="Arial" w:hAnsi="Arial" w:eastAsia="Heiti SC" w:cs="Arial"/>
          <w:b w:val="0"/>
        </w:rPr>
        <w:t>在本次 Active 状态与普通 ERC-20 语义下，新增到账加上上次尾数后按 2 均分；不能整除的 1 个最小单位留待后续处理。每个 ID 的可领金额为其累计应得减去该 ID 的累计已领。转移改变持有人，保留已领记录和未领权益，因此不能用“当前 Vault 余额的一半”替代份额账本。</w:t>
      </w:r>
    </w:p>
    <w:p>
      <w:pPr>
        <w:pStyle w:val="Heading1"/>
      </w:pPr>
      <w:r>
        <w:rPr>
          <w:rFonts w:ascii="Arial" w:hAnsi="Arial" w:eastAsia="Heiti SC" w:cs="Arial"/>
          <w:b w:val="0"/>
        </w:rPr>
        <w:t>2 部署存入与主网结果总览</w:t>
      </w:r>
    </w:p>
    <w:p>
      <w:r>
        <w:rPr>
          <w:rFonts w:ascii="Arial" w:hAnsi="Arial" w:eastAsia="Heiti SC" w:cs="Arial"/>
          <w:b w:val="0"/>
        </w:rPr>
        <w:t xml:space="preserve">部署交易在区块 </w:t>
      </w:r>
      <w:r>
        <w:rPr>
          <w:rFonts w:ascii="Arial" w:hAnsi="Arial" w:eastAsia="Heiti SC" w:cs="Arial"/>
          <w:b/>
        </w:rPr>
        <w:t>125537081</w:t>
      </w:r>
      <w:r>
        <w:rPr>
          <w:rFonts w:ascii="Arial" w:hAnsi="Arial" w:eastAsia="Heiti SC" w:cs="Arial"/>
          <w:b w:val="0"/>
        </w:rPr>
        <w:t xml:space="preserve"> 成功创建 Vault，owner 与初始 A/B 绑定符合配置。存入交易在区块 </w:t>
      </w:r>
      <w:r>
        <w:rPr>
          <w:rFonts w:ascii="Arial" w:hAnsi="Arial" w:eastAsia="Heiti SC" w:cs="Arial"/>
          <w:b/>
        </w:rPr>
        <w:t>125539018</w:t>
      </w:r>
      <w:r>
        <w:rPr>
          <w:rFonts w:ascii="Arial" w:hAnsi="Arial" w:eastAsia="Heiti SC" w:cs="Arial"/>
          <w:b w:val="0"/>
        </w:rPr>
        <w:t xml:space="preserve"> 成功；保存的后置观察区块 125539021 显示矿机 #3204 的 ownerOf 为 Vault，状态由 AwaitingDeposit 进入 Active，两份额持有人为 A/B。交易索引见第 8 节 T01、T02。</w:t>
      </w:r>
    </w:p>
    <w:p>
      <w:pPr>
        <w:pStyle w:val="Heading2"/>
      </w:pPr>
      <w:r>
        <w:rPr>
          <w:rFonts w:ascii="Arial" w:hAnsi="Arial" w:eastAsia="Heiti SC" w:cs="Arial"/>
          <w:b w:val="0"/>
        </w:rPr>
        <w:t>四轮主网测试结果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90" w:type="dxa"/>
          <w:right w:w="90" w:type="dxa"/>
        </w:tblCellMar>
      </w:tblPr>
      <w:tblGrid>
        <w:gridCol w:w="1080"/>
        <w:gridCol w:w="5760"/>
        <w:gridCol w:w="1368"/>
        <w:gridCol w:w="1872"/>
      </w:tblGrid>
      <w:tr>
        <w:trPr>
          <w:cantSplit/>
          <w:tblHeader/>
        </w:trPr>
        <w:tc>
          <w:tcPr>
            <w:tcW w:type="dxa" w:w="1080"/>
            <w:vAlign w:val="center"/>
            <w:shd w:fill="DDEAF3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/>
                <w:sz w:val="20"/>
              </w:rPr>
              <w:t>轮次</w:t>
            </w:r>
          </w:p>
        </w:tc>
        <w:tc>
          <w:tcPr>
            <w:tcW w:type="dxa" w:w="5760"/>
            <w:vAlign w:val="center"/>
            <w:shd w:fill="DDEAF3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/>
                <w:sz w:val="20"/>
              </w:rPr>
              <w:t>测试目的</w:t>
            </w:r>
          </w:p>
        </w:tc>
        <w:tc>
          <w:tcPr>
            <w:tcW w:type="dxa" w:w="1368"/>
            <w:vAlign w:val="center"/>
            <w:shd w:fill="DDEAF3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/>
                <w:sz w:val="20"/>
              </w:rPr>
              <w:t>核验结果</w:t>
            </w:r>
          </w:p>
        </w:tc>
        <w:tc>
          <w:tcPr>
            <w:tcW w:type="dxa" w:w="1872"/>
            <w:vAlign w:val="center"/>
            <w:shd w:fill="DDEAF3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/>
                <w:sz w:val="20"/>
              </w:rPr>
              <w:t>结束区块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20"/>
              </w:rPr>
              <w:t>第一轮</w:t>
            </w:r>
          </w:p>
        </w:tc>
        <w:tc>
          <w:tcPr>
            <w:tcW w:type="dxa" w:w="5760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20"/>
              </w:rPr>
              <w:t>A 单独领取，B 的权益保留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20"/>
              </w:rPr>
              <w:t>通过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 w:before="0" w:line="269" w:lineRule="auto"/>
              <w:jc w:val="right"/>
            </w:pPr>
            <w:r>
              <w:rPr>
                <w:rFonts w:ascii="Arial" w:hAnsi="Arial" w:eastAsia="Heiti SC" w:cs="Arial"/>
                <w:b w:val="0"/>
                <w:sz w:val="20"/>
              </w:rPr>
              <w:t>125545984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20"/>
              </w:rPr>
              <w:t>第二轮</w:t>
            </w:r>
          </w:p>
        </w:tc>
        <w:tc>
          <w:tcPr>
            <w:tcW w:type="dxa" w:w="5760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20"/>
              </w:rPr>
              <w:t>A/B 按同一批到账收益结算，累计相等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20"/>
              </w:rPr>
              <w:t>通过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 w:before="0" w:line="269" w:lineRule="auto"/>
              <w:jc w:val="right"/>
            </w:pPr>
            <w:r>
              <w:rPr>
                <w:rFonts w:ascii="Arial" w:hAnsi="Arial" w:eastAsia="Heiti SC" w:cs="Arial"/>
                <w:b w:val="0"/>
                <w:sz w:val="20"/>
              </w:rPr>
              <w:t>125643527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20"/>
              </w:rPr>
              <w:t>第三轮</w:t>
            </w:r>
          </w:p>
        </w:tc>
        <w:tc>
          <w:tcPr>
            <w:tcW w:type="dxa" w:w="5760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20"/>
              </w:rPr>
              <w:t>A 转给 owner 后接续领取 Mining 收益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20"/>
              </w:rPr>
              <w:t>通过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 w:before="0" w:line="269" w:lineRule="auto"/>
              <w:jc w:val="right"/>
            </w:pPr>
            <w:r>
              <w:rPr>
                <w:rFonts w:ascii="Arial" w:hAnsi="Arial" w:eastAsia="Heiti SC" w:cs="Arial"/>
                <w:b w:val="0"/>
                <w:sz w:val="20"/>
              </w:rPr>
              <w:t>125686606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20"/>
              </w:rPr>
              <w:t>第四轮</w:t>
            </w:r>
          </w:p>
        </w:tc>
        <w:tc>
          <w:tcPr>
            <w:tcW w:type="dxa" w:w="5760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20"/>
              </w:rPr>
              <w:t>owner 将已到账未领权益随 #1 转回 A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20"/>
              </w:rPr>
              <w:t>通过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 w:before="0" w:line="269" w:lineRule="auto"/>
              <w:jc w:val="right"/>
            </w:pPr>
            <w:r>
              <w:rPr>
                <w:rFonts w:ascii="Arial" w:hAnsi="Arial" w:eastAsia="Heiti SC" w:cs="Arial"/>
                <w:b w:val="0"/>
                <w:sz w:val="20"/>
              </w:rPr>
              <w:t>125712665</w:t>
            </w:r>
          </w:p>
        </w:tc>
      </w:tr>
    </w:tbl>
    <w:p>
      <w:pPr>
        <w:spacing w:after="40" w:line="96" w:lineRule="auto"/>
      </w:pPr>
    </w:p>
    <w:p>
      <w:pPr>
        <w:pStyle w:val="Heading2"/>
      </w:pPr>
      <w:r>
        <w:rPr>
          <w:rFonts w:ascii="Arial" w:hAnsi="Arial" w:eastAsia="Heiti SC" w:cs="Arial"/>
          <w:b w:val="0"/>
        </w:rPr>
        <w:t>实际新增到账与支付</w:t>
      </w:r>
    </w:p>
    <w:p>
      <w:r>
        <w:rPr>
          <w:rFonts w:ascii="Arial" w:hAnsi="Arial" w:eastAsia="Heiti SC" w:cs="Arial"/>
          <w:b w:val="0"/>
        </w:rPr>
        <w:t>下表全部单位为 BEM。pending 是收取交易前一区块末的读数，不能累加作为实际收入。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90" w:type="dxa"/>
          <w:right w:w="90" w:type="dxa"/>
        </w:tblCellMar>
      </w:tblPr>
      <w:tblGrid>
        <w:gridCol w:w="1152"/>
        <w:gridCol w:w="1786"/>
        <w:gridCol w:w="1786"/>
        <w:gridCol w:w="1786"/>
        <w:gridCol w:w="1786"/>
        <w:gridCol w:w="1786"/>
      </w:tblGrid>
      <w:tr>
        <w:trPr>
          <w:cantSplit/>
          <w:tblHeader/>
        </w:trPr>
        <w:tc>
          <w:tcPr>
            <w:tcW w:type="dxa" w:w="1152"/>
            <w:vAlign w:val="center"/>
            <w:shd w:fill="DDEAF3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/>
                <w:sz w:val="18"/>
              </w:rPr>
              <w:t>轮次</w:t>
            </w:r>
          </w:p>
        </w:tc>
        <w:tc>
          <w:tcPr>
            <w:tcW w:type="dxa" w:w="1786"/>
            <w:vAlign w:val="center"/>
            <w:shd w:fill="DDEAF3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/>
                <w:sz w:val="18"/>
              </w:rPr>
              <w:t>收取前 pending</w:t>
            </w:r>
          </w:p>
        </w:tc>
        <w:tc>
          <w:tcPr>
            <w:tcW w:type="dxa" w:w="1786"/>
            <w:vAlign w:val="center"/>
            <w:shd w:fill="DDEAF3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/>
                <w:sz w:val="18"/>
              </w:rPr>
              <w:t>实际新增到账</w:t>
            </w:r>
          </w:p>
        </w:tc>
        <w:tc>
          <w:tcPr>
            <w:tcW w:type="dxa" w:w="1786"/>
            <w:vAlign w:val="center"/>
            <w:shd w:fill="DDEAF3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/>
                <w:sz w:val="18"/>
              </w:rPr>
              <w:t>A 实付</w:t>
            </w:r>
          </w:p>
        </w:tc>
        <w:tc>
          <w:tcPr>
            <w:tcW w:type="dxa" w:w="1786"/>
            <w:vAlign w:val="center"/>
            <w:shd w:fill="DDEAF3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/>
                <w:sz w:val="18"/>
              </w:rPr>
              <w:t>owner 实付</w:t>
            </w:r>
          </w:p>
        </w:tc>
        <w:tc>
          <w:tcPr>
            <w:tcW w:type="dxa" w:w="1786"/>
            <w:vAlign w:val="center"/>
            <w:shd w:fill="DDEAF3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/>
                <w:sz w:val="18"/>
              </w:rPr>
              <w:t>B 实付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18"/>
              </w:rPr>
              <w:t>第一轮</w:t>
            </w:r>
          </w:p>
        </w:tc>
        <w:tc>
          <w:tcPr>
            <w:tcW w:type="dxa" w:w="1786"/>
            <w:vAlign w:val="center"/>
            <w:shd w:fill="FFFFFF"/>
          </w:tcPr>
          <w:p>
            <w:pPr>
              <w:spacing w:after="0" w:before="0" w:line="269" w:lineRule="auto"/>
              <w:jc w:val="right"/>
            </w:pPr>
            <w:r>
              <w:rPr>
                <w:rFonts w:ascii="Arial" w:hAnsi="Arial" w:eastAsia="Heiti SC" w:cs="Arial"/>
                <w:b w:val="0"/>
                <w:sz w:val="18"/>
              </w:rPr>
              <w:t>0.00083930</w:t>
            </w:r>
          </w:p>
        </w:tc>
        <w:tc>
          <w:tcPr>
            <w:tcW w:type="dxa" w:w="1786"/>
            <w:vAlign w:val="center"/>
            <w:shd w:fill="FFFFFF"/>
          </w:tcPr>
          <w:p>
            <w:pPr>
              <w:spacing w:after="0" w:before="0" w:line="269" w:lineRule="auto"/>
              <w:jc w:val="right"/>
            </w:pPr>
            <w:r>
              <w:rPr>
                <w:rFonts w:ascii="Arial" w:hAnsi="Arial" w:eastAsia="Heiti SC" w:cs="Arial"/>
                <w:b w:val="0"/>
                <w:sz w:val="18"/>
              </w:rPr>
              <w:t>0.00084916</w:t>
            </w:r>
          </w:p>
        </w:tc>
        <w:tc>
          <w:tcPr>
            <w:tcW w:type="dxa" w:w="1786"/>
            <w:vAlign w:val="center"/>
            <w:shd w:fill="FFFFFF"/>
          </w:tcPr>
          <w:p>
            <w:pPr>
              <w:spacing w:after="0" w:before="0" w:line="269" w:lineRule="auto"/>
              <w:jc w:val="right"/>
            </w:pPr>
            <w:r>
              <w:rPr>
                <w:rFonts w:ascii="Arial" w:hAnsi="Arial" w:eastAsia="Heiti SC" w:cs="Arial"/>
                <w:b w:val="0"/>
                <w:sz w:val="18"/>
              </w:rPr>
              <w:t>0.00042458</w:t>
            </w:r>
          </w:p>
        </w:tc>
        <w:tc>
          <w:tcPr>
            <w:tcW w:type="dxa" w:w="1786"/>
            <w:vAlign w:val="center"/>
            <w:shd w:fill="FFFFFF"/>
          </w:tcPr>
          <w:p>
            <w:pPr>
              <w:spacing w:after="0" w:before="0" w:line="269" w:lineRule="auto"/>
              <w:jc w:val="right"/>
            </w:pPr>
            <w:r>
              <w:rPr>
                <w:rFonts w:ascii="Arial" w:hAnsi="Arial" w:eastAsia="Heiti SC" w:cs="Arial"/>
                <w:b w:val="0"/>
                <w:sz w:val="18"/>
              </w:rPr>
              <w:t>0</w:t>
            </w:r>
          </w:p>
        </w:tc>
        <w:tc>
          <w:tcPr>
            <w:tcW w:type="dxa" w:w="1786"/>
            <w:vAlign w:val="center"/>
            <w:shd w:fill="FFFFFF"/>
          </w:tcPr>
          <w:p>
            <w:pPr>
              <w:spacing w:after="0" w:before="0" w:line="269" w:lineRule="auto"/>
              <w:jc w:val="right"/>
            </w:pPr>
            <w:r>
              <w:rPr>
                <w:rFonts w:ascii="Arial" w:hAnsi="Arial" w:eastAsia="Heiti SC" w:cs="Arial"/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18"/>
              </w:rPr>
              <w:t>第二轮</w:t>
            </w:r>
          </w:p>
        </w:tc>
        <w:tc>
          <w:tcPr>
            <w:tcW w:type="dxa" w:w="1786"/>
            <w:vAlign w:val="center"/>
            <w:shd w:fill="FFFFFF"/>
          </w:tcPr>
          <w:p>
            <w:pPr>
              <w:spacing w:after="0" w:before="0" w:line="269" w:lineRule="auto"/>
              <w:jc w:val="right"/>
            </w:pPr>
            <w:r>
              <w:rPr>
                <w:rFonts w:ascii="Arial" w:hAnsi="Arial" w:eastAsia="Heiti SC" w:cs="Arial"/>
                <w:b w:val="0"/>
                <w:sz w:val="18"/>
              </w:rPr>
              <w:t>0.00469993</w:t>
            </w:r>
          </w:p>
        </w:tc>
        <w:tc>
          <w:tcPr>
            <w:tcW w:type="dxa" w:w="1786"/>
            <w:vAlign w:val="center"/>
            <w:shd w:fill="FFFFFF"/>
          </w:tcPr>
          <w:p>
            <w:pPr>
              <w:spacing w:after="0" w:before="0" w:line="269" w:lineRule="auto"/>
              <w:jc w:val="right"/>
            </w:pPr>
            <w:r>
              <w:rPr>
                <w:rFonts w:ascii="Arial" w:hAnsi="Arial" w:eastAsia="Heiti SC" w:cs="Arial"/>
                <w:b w:val="0"/>
                <w:sz w:val="18"/>
              </w:rPr>
              <w:t>0.00470357</w:t>
            </w:r>
          </w:p>
        </w:tc>
        <w:tc>
          <w:tcPr>
            <w:tcW w:type="dxa" w:w="1786"/>
            <w:vAlign w:val="center"/>
            <w:shd w:fill="FFFFFF"/>
          </w:tcPr>
          <w:p>
            <w:pPr>
              <w:spacing w:after="0" w:before="0" w:line="269" w:lineRule="auto"/>
              <w:jc w:val="right"/>
            </w:pPr>
            <w:r>
              <w:rPr>
                <w:rFonts w:ascii="Arial" w:hAnsi="Arial" w:eastAsia="Heiti SC" w:cs="Arial"/>
                <w:b w:val="0"/>
                <w:sz w:val="18"/>
              </w:rPr>
              <w:t>0.00235178</w:t>
            </w:r>
          </w:p>
        </w:tc>
        <w:tc>
          <w:tcPr>
            <w:tcW w:type="dxa" w:w="1786"/>
            <w:vAlign w:val="center"/>
            <w:shd w:fill="FFFFFF"/>
          </w:tcPr>
          <w:p>
            <w:pPr>
              <w:spacing w:after="0" w:before="0" w:line="269" w:lineRule="auto"/>
              <w:jc w:val="right"/>
            </w:pPr>
            <w:r>
              <w:rPr>
                <w:rFonts w:ascii="Arial" w:hAnsi="Arial" w:eastAsia="Heiti SC" w:cs="Arial"/>
                <w:b w:val="0"/>
                <w:sz w:val="18"/>
              </w:rPr>
              <w:t>0</w:t>
            </w:r>
          </w:p>
        </w:tc>
        <w:tc>
          <w:tcPr>
            <w:tcW w:type="dxa" w:w="1786"/>
            <w:vAlign w:val="center"/>
            <w:shd w:fill="FFFFFF"/>
          </w:tcPr>
          <w:p>
            <w:pPr>
              <w:spacing w:after="0" w:before="0" w:line="269" w:lineRule="auto"/>
              <w:jc w:val="right"/>
            </w:pPr>
            <w:r>
              <w:rPr>
                <w:rFonts w:ascii="Arial" w:hAnsi="Arial" w:eastAsia="Heiti SC" w:cs="Arial"/>
                <w:b w:val="0"/>
                <w:sz w:val="18"/>
              </w:rPr>
              <w:t>0.00277636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18"/>
              </w:rPr>
              <w:t>第三轮</w:t>
            </w:r>
          </w:p>
        </w:tc>
        <w:tc>
          <w:tcPr>
            <w:tcW w:type="dxa" w:w="1786"/>
            <w:vAlign w:val="center"/>
            <w:shd w:fill="FFFFFF"/>
          </w:tcPr>
          <w:p>
            <w:pPr>
              <w:spacing w:after="0" w:before="0" w:line="269" w:lineRule="auto"/>
              <w:jc w:val="right"/>
            </w:pPr>
            <w:r>
              <w:rPr>
                <w:rFonts w:ascii="Arial" w:hAnsi="Arial" w:eastAsia="Heiti SC" w:cs="Arial"/>
                <w:b w:val="0"/>
                <w:sz w:val="18"/>
              </w:rPr>
              <w:t>0.00206523</w:t>
            </w:r>
          </w:p>
        </w:tc>
        <w:tc>
          <w:tcPr>
            <w:tcW w:type="dxa" w:w="1786"/>
            <w:vAlign w:val="center"/>
            <w:shd w:fill="FFFFFF"/>
          </w:tcPr>
          <w:p>
            <w:pPr>
              <w:spacing w:after="0" w:before="0" w:line="269" w:lineRule="auto"/>
              <w:jc w:val="right"/>
            </w:pPr>
            <w:r>
              <w:rPr>
                <w:rFonts w:ascii="Arial" w:hAnsi="Arial" w:eastAsia="Heiti SC" w:cs="Arial"/>
                <w:b w:val="0"/>
                <w:sz w:val="18"/>
              </w:rPr>
              <w:t>0.00207810</w:t>
            </w:r>
          </w:p>
        </w:tc>
        <w:tc>
          <w:tcPr>
            <w:tcW w:type="dxa" w:w="1786"/>
            <w:vAlign w:val="center"/>
            <w:shd w:fill="FFFFFF"/>
          </w:tcPr>
          <w:p>
            <w:pPr>
              <w:spacing w:after="0" w:before="0" w:line="269" w:lineRule="auto"/>
              <w:jc w:val="right"/>
            </w:pPr>
            <w:r>
              <w:rPr>
                <w:rFonts w:ascii="Arial" w:hAnsi="Arial" w:eastAsia="Heiti SC" w:cs="Arial"/>
                <w:b w:val="0"/>
                <w:sz w:val="18"/>
              </w:rPr>
              <w:t>0</w:t>
            </w:r>
          </w:p>
        </w:tc>
        <w:tc>
          <w:tcPr>
            <w:tcW w:type="dxa" w:w="1786"/>
            <w:vAlign w:val="center"/>
            <w:shd w:fill="FFFFFF"/>
          </w:tcPr>
          <w:p>
            <w:pPr>
              <w:spacing w:after="0" w:before="0" w:line="269" w:lineRule="auto"/>
              <w:jc w:val="right"/>
            </w:pPr>
            <w:r>
              <w:rPr>
                <w:rFonts w:ascii="Arial" w:hAnsi="Arial" w:eastAsia="Heiti SC" w:cs="Arial"/>
                <w:b w:val="0"/>
                <w:sz w:val="18"/>
              </w:rPr>
              <w:t>0.00103905</w:t>
            </w:r>
          </w:p>
        </w:tc>
        <w:tc>
          <w:tcPr>
            <w:tcW w:type="dxa" w:w="1786"/>
            <w:vAlign w:val="center"/>
            <w:shd w:fill="FFFFFF"/>
          </w:tcPr>
          <w:p>
            <w:pPr>
              <w:spacing w:after="0" w:before="0" w:line="269" w:lineRule="auto"/>
              <w:jc w:val="right"/>
            </w:pPr>
            <w:r>
              <w:rPr>
                <w:rFonts w:ascii="Arial" w:hAnsi="Arial" w:eastAsia="Heiti SC" w:cs="Arial"/>
                <w:b w:val="0"/>
                <w:sz w:val="18"/>
              </w:rPr>
              <w:t>0.00103905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18"/>
              </w:rPr>
              <w:t>第四轮</w:t>
            </w:r>
          </w:p>
        </w:tc>
        <w:tc>
          <w:tcPr>
            <w:tcW w:type="dxa" w:w="1786"/>
            <w:vAlign w:val="center"/>
            <w:shd w:fill="FFFFFF"/>
          </w:tcPr>
          <w:p>
            <w:pPr>
              <w:spacing w:after="0" w:before="0" w:line="269" w:lineRule="auto"/>
              <w:jc w:val="right"/>
            </w:pPr>
            <w:r>
              <w:rPr>
                <w:rFonts w:ascii="Arial" w:hAnsi="Arial" w:eastAsia="Heiti SC" w:cs="Arial"/>
                <w:b w:val="0"/>
                <w:sz w:val="18"/>
              </w:rPr>
              <w:t>0.00111528</w:t>
            </w:r>
          </w:p>
        </w:tc>
        <w:tc>
          <w:tcPr>
            <w:tcW w:type="dxa" w:w="1786"/>
            <w:vAlign w:val="center"/>
            <w:shd w:fill="FFFFFF"/>
          </w:tcPr>
          <w:p>
            <w:pPr>
              <w:spacing w:after="0" w:before="0" w:line="269" w:lineRule="auto"/>
              <w:jc w:val="right"/>
            </w:pPr>
            <w:r>
              <w:rPr>
                <w:rFonts w:ascii="Arial" w:hAnsi="Arial" w:eastAsia="Heiti SC" w:cs="Arial"/>
                <w:b w:val="0"/>
                <w:sz w:val="18"/>
              </w:rPr>
              <w:t>0.00112075</w:t>
            </w:r>
          </w:p>
        </w:tc>
        <w:tc>
          <w:tcPr>
            <w:tcW w:type="dxa" w:w="1786"/>
            <w:vAlign w:val="center"/>
            <w:shd w:fill="FFFFFF"/>
          </w:tcPr>
          <w:p>
            <w:pPr>
              <w:spacing w:after="0" w:before="0" w:line="269" w:lineRule="auto"/>
              <w:jc w:val="right"/>
            </w:pPr>
            <w:r>
              <w:rPr>
                <w:rFonts w:ascii="Arial" w:hAnsi="Arial" w:eastAsia="Heiti SC" w:cs="Arial"/>
                <w:b w:val="0"/>
                <w:sz w:val="18"/>
              </w:rPr>
              <w:t>0.00056038</w:t>
            </w:r>
          </w:p>
        </w:tc>
        <w:tc>
          <w:tcPr>
            <w:tcW w:type="dxa" w:w="1786"/>
            <w:vAlign w:val="center"/>
            <w:shd w:fill="FFFFFF"/>
          </w:tcPr>
          <w:p>
            <w:pPr>
              <w:spacing w:after="0" w:before="0" w:line="269" w:lineRule="auto"/>
              <w:jc w:val="right"/>
            </w:pPr>
            <w:r>
              <w:rPr>
                <w:rFonts w:ascii="Arial" w:hAnsi="Arial" w:eastAsia="Heiti SC" w:cs="Arial"/>
                <w:b w:val="0"/>
                <w:sz w:val="18"/>
              </w:rPr>
              <w:t>0</w:t>
            </w:r>
          </w:p>
        </w:tc>
        <w:tc>
          <w:tcPr>
            <w:tcW w:type="dxa" w:w="1786"/>
            <w:vAlign w:val="center"/>
            <w:shd w:fill="FFFFFF"/>
          </w:tcPr>
          <w:p>
            <w:pPr>
              <w:spacing w:after="0" w:before="0" w:line="269" w:lineRule="auto"/>
              <w:jc w:val="right"/>
            </w:pPr>
            <w:r>
              <w:rPr>
                <w:rFonts w:ascii="Arial" w:hAnsi="Arial" w:eastAsia="Heiti SC" w:cs="Arial"/>
                <w:b w:val="0"/>
                <w:sz w:val="18"/>
              </w:rPr>
              <w:t>0.00056038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18"/>
              </w:rPr>
              <w:t>合计</w:t>
            </w:r>
          </w:p>
        </w:tc>
        <w:tc>
          <w:tcPr>
            <w:tcW w:type="dxa" w:w="1786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18"/>
              </w:rPr>
              <w:t>不适用</w:t>
            </w:r>
          </w:p>
        </w:tc>
        <w:tc>
          <w:tcPr>
            <w:tcW w:type="dxa" w:w="1786"/>
            <w:vAlign w:val="center"/>
            <w:shd w:fill="FFFFFF"/>
          </w:tcPr>
          <w:p>
            <w:pPr>
              <w:spacing w:after="0" w:before="0" w:line="269" w:lineRule="auto"/>
              <w:jc w:val="right"/>
            </w:pPr>
            <w:r>
              <w:rPr>
                <w:rFonts w:ascii="Arial" w:hAnsi="Arial" w:eastAsia="Heiti SC" w:cs="Arial"/>
                <w:b/>
                <w:sz w:val="18"/>
              </w:rPr>
              <w:t>0.00875158</w:t>
            </w:r>
          </w:p>
        </w:tc>
        <w:tc>
          <w:tcPr>
            <w:tcW w:type="dxa" w:w="1786"/>
            <w:vAlign w:val="center"/>
            <w:shd w:fill="FFFFFF"/>
          </w:tcPr>
          <w:p>
            <w:pPr>
              <w:spacing w:after="0" w:before="0" w:line="269" w:lineRule="auto"/>
              <w:jc w:val="right"/>
            </w:pPr>
            <w:r>
              <w:rPr>
                <w:rFonts w:ascii="Arial" w:hAnsi="Arial" w:eastAsia="Heiti SC" w:cs="Arial"/>
                <w:b/>
                <w:sz w:val="18"/>
              </w:rPr>
              <w:t>0.00333674</w:t>
            </w:r>
          </w:p>
        </w:tc>
        <w:tc>
          <w:tcPr>
            <w:tcW w:type="dxa" w:w="1786"/>
            <w:vAlign w:val="center"/>
            <w:shd w:fill="FFFFFF"/>
          </w:tcPr>
          <w:p>
            <w:pPr>
              <w:spacing w:after="0" w:before="0" w:line="269" w:lineRule="auto"/>
              <w:jc w:val="right"/>
            </w:pPr>
            <w:r>
              <w:rPr>
                <w:rFonts w:ascii="Arial" w:hAnsi="Arial" w:eastAsia="Heiti SC" w:cs="Arial"/>
                <w:b/>
                <w:sz w:val="18"/>
              </w:rPr>
              <w:t>0.00103905</w:t>
            </w:r>
          </w:p>
        </w:tc>
        <w:tc>
          <w:tcPr>
            <w:tcW w:type="dxa" w:w="1786"/>
            <w:vAlign w:val="center"/>
            <w:shd w:fill="FFFFFF"/>
          </w:tcPr>
          <w:p>
            <w:pPr>
              <w:spacing w:after="0" w:before="0" w:line="269" w:lineRule="auto"/>
              <w:jc w:val="right"/>
            </w:pPr>
            <w:r>
              <w:rPr>
                <w:rFonts w:ascii="Arial" w:hAnsi="Arial" w:eastAsia="Heiti SC" w:cs="Arial"/>
                <w:b/>
                <w:sz w:val="18"/>
              </w:rPr>
              <w:t>0.00437579</w:t>
            </w:r>
          </w:p>
        </w:tc>
      </w:tr>
    </w:tbl>
    <w:p>
      <w:pPr>
        <w:spacing w:after="40" w:line="96" w:lineRule="auto"/>
      </w:pPr>
    </w:p>
    <w:p>
      <w:r>
        <w:rPr>
          <w:rFonts w:ascii="Arial" w:hAnsi="Arial" w:eastAsia="Heiti SC" w:cs="Arial"/>
          <w:b w:val="0"/>
        </w:rPr>
        <w:t>第一轮只支付了 A 的部分，第二轮 B 补领历史留存。第四轮支付合计为 0.00112076 BEM，比本轮新增到账多 0.00000001 BEM，因为上一轮尾数也在本轮参与分配。四轮合计收支相等。</w:t>
      </w:r>
    </w:p>
    <w:p>
      <w:pPr>
        <w:pStyle w:val="Heading2"/>
      </w:pPr>
      <w:r>
        <w:rPr>
          <w:rFonts w:ascii="Arial" w:hAnsi="Arial" w:eastAsia="Heiti SC" w:cs="Arial"/>
          <w:b w:val="0"/>
        </w:rPr>
        <w:t>每轮结束后的账本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90" w:type="dxa"/>
          <w:right w:w="90" w:type="dxa"/>
        </w:tblCellMar>
      </w:tblPr>
      <w:tblGrid>
        <w:gridCol w:w="1152"/>
        <w:gridCol w:w="1786"/>
        <w:gridCol w:w="1786"/>
        <w:gridCol w:w="1786"/>
        <w:gridCol w:w="1786"/>
        <w:gridCol w:w="1786"/>
      </w:tblGrid>
      <w:tr>
        <w:trPr>
          <w:cantSplit/>
          <w:tblHeader/>
        </w:trPr>
        <w:tc>
          <w:tcPr>
            <w:tcW w:type="dxa" w:w="1152"/>
            <w:vAlign w:val="center"/>
            <w:shd w:fill="DDEAF3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/>
                <w:sz w:val="18"/>
              </w:rPr>
              <w:t>轮次</w:t>
            </w:r>
          </w:p>
        </w:tc>
        <w:tc>
          <w:tcPr>
            <w:tcW w:type="dxa" w:w="1786"/>
            <w:vAlign w:val="center"/>
            <w:shd w:fill="DDEAF3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/>
                <w:sz w:val="18"/>
              </w:rPr>
              <w:t>#1 累计已领</w:t>
            </w:r>
          </w:p>
        </w:tc>
        <w:tc>
          <w:tcPr>
            <w:tcW w:type="dxa" w:w="1786"/>
            <w:vAlign w:val="center"/>
            <w:shd w:fill="DDEAF3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/>
                <w:sz w:val="18"/>
              </w:rPr>
              <w:t>#2 累计已领</w:t>
            </w:r>
          </w:p>
        </w:tc>
        <w:tc>
          <w:tcPr>
            <w:tcW w:type="dxa" w:w="1786"/>
            <w:vAlign w:val="center"/>
            <w:shd w:fill="DDEAF3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/>
                <w:sz w:val="18"/>
              </w:rPr>
              <w:t>#1 剩余可领</w:t>
            </w:r>
          </w:p>
        </w:tc>
        <w:tc>
          <w:tcPr>
            <w:tcW w:type="dxa" w:w="1786"/>
            <w:vAlign w:val="center"/>
            <w:shd w:fill="DDEAF3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/>
                <w:sz w:val="18"/>
              </w:rPr>
              <w:t>#2 剩余可领</w:t>
            </w:r>
          </w:p>
        </w:tc>
        <w:tc>
          <w:tcPr>
            <w:tcW w:type="dxa" w:w="1786"/>
            <w:vAlign w:val="center"/>
            <w:shd w:fill="DDEAF3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/>
                <w:sz w:val="18"/>
              </w:rPr>
              <w:t>Vault 余额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18"/>
              </w:rPr>
              <w:t>第一轮</w:t>
            </w:r>
          </w:p>
        </w:tc>
        <w:tc>
          <w:tcPr>
            <w:tcW w:type="dxa" w:w="1786"/>
            <w:vAlign w:val="center"/>
            <w:shd w:fill="FFFFFF"/>
          </w:tcPr>
          <w:p>
            <w:pPr>
              <w:spacing w:after="0" w:before="0" w:line="269" w:lineRule="auto"/>
              <w:jc w:val="right"/>
            </w:pPr>
            <w:r>
              <w:rPr>
                <w:rFonts w:ascii="Arial" w:hAnsi="Arial" w:eastAsia="Heiti SC" w:cs="Arial"/>
                <w:b w:val="0"/>
                <w:sz w:val="18"/>
              </w:rPr>
              <w:t>0.00042458</w:t>
            </w:r>
          </w:p>
        </w:tc>
        <w:tc>
          <w:tcPr>
            <w:tcW w:type="dxa" w:w="1786"/>
            <w:vAlign w:val="center"/>
            <w:shd w:fill="FFFFFF"/>
          </w:tcPr>
          <w:p>
            <w:pPr>
              <w:spacing w:after="0" w:before="0" w:line="269" w:lineRule="auto"/>
              <w:jc w:val="right"/>
            </w:pPr>
            <w:r>
              <w:rPr>
                <w:rFonts w:ascii="Arial" w:hAnsi="Arial" w:eastAsia="Heiti SC" w:cs="Arial"/>
                <w:b w:val="0"/>
                <w:sz w:val="18"/>
              </w:rPr>
              <w:t>0</w:t>
            </w:r>
          </w:p>
        </w:tc>
        <w:tc>
          <w:tcPr>
            <w:tcW w:type="dxa" w:w="1786"/>
            <w:vAlign w:val="center"/>
            <w:shd w:fill="FFFFFF"/>
          </w:tcPr>
          <w:p>
            <w:pPr>
              <w:spacing w:after="0" w:before="0" w:line="269" w:lineRule="auto"/>
              <w:jc w:val="right"/>
            </w:pPr>
            <w:r>
              <w:rPr>
                <w:rFonts w:ascii="Arial" w:hAnsi="Arial" w:eastAsia="Heiti SC" w:cs="Arial"/>
                <w:b w:val="0"/>
                <w:sz w:val="18"/>
              </w:rPr>
              <w:t>0</w:t>
            </w:r>
          </w:p>
        </w:tc>
        <w:tc>
          <w:tcPr>
            <w:tcW w:type="dxa" w:w="1786"/>
            <w:vAlign w:val="center"/>
            <w:shd w:fill="FFFFFF"/>
          </w:tcPr>
          <w:p>
            <w:pPr>
              <w:spacing w:after="0" w:before="0" w:line="269" w:lineRule="auto"/>
              <w:jc w:val="right"/>
            </w:pPr>
            <w:r>
              <w:rPr>
                <w:rFonts w:ascii="Arial" w:hAnsi="Arial" w:eastAsia="Heiti SC" w:cs="Arial"/>
                <w:b w:val="0"/>
                <w:sz w:val="18"/>
              </w:rPr>
              <w:t>0.00042458</w:t>
            </w:r>
          </w:p>
        </w:tc>
        <w:tc>
          <w:tcPr>
            <w:tcW w:type="dxa" w:w="1786"/>
            <w:vAlign w:val="center"/>
            <w:shd w:fill="FFFFFF"/>
          </w:tcPr>
          <w:p>
            <w:pPr>
              <w:spacing w:after="0" w:before="0" w:line="269" w:lineRule="auto"/>
              <w:jc w:val="right"/>
            </w:pPr>
            <w:r>
              <w:rPr>
                <w:rFonts w:ascii="Arial" w:hAnsi="Arial" w:eastAsia="Heiti SC" w:cs="Arial"/>
                <w:b w:val="0"/>
                <w:sz w:val="18"/>
              </w:rPr>
              <w:t>0.00042458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18"/>
              </w:rPr>
              <w:t>第二轮</w:t>
            </w:r>
          </w:p>
        </w:tc>
        <w:tc>
          <w:tcPr>
            <w:tcW w:type="dxa" w:w="1786"/>
            <w:vAlign w:val="center"/>
            <w:shd w:fill="FFFFFF"/>
          </w:tcPr>
          <w:p>
            <w:pPr>
              <w:spacing w:after="0" w:before="0" w:line="269" w:lineRule="auto"/>
              <w:jc w:val="right"/>
            </w:pPr>
            <w:r>
              <w:rPr>
                <w:rFonts w:ascii="Arial" w:hAnsi="Arial" w:eastAsia="Heiti SC" w:cs="Arial"/>
                <w:b w:val="0"/>
                <w:sz w:val="18"/>
              </w:rPr>
              <w:t>0.00277636</w:t>
            </w:r>
          </w:p>
        </w:tc>
        <w:tc>
          <w:tcPr>
            <w:tcW w:type="dxa" w:w="1786"/>
            <w:vAlign w:val="center"/>
            <w:shd w:fill="FFFFFF"/>
          </w:tcPr>
          <w:p>
            <w:pPr>
              <w:spacing w:after="0" w:before="0" w:line="269" w:lineRule="auto"/>
              <w:jc w:val="right"/>
            </w:pPr>
            <w:r>
              <w:rPr>
                <w:rFonts w:ascii="Arial" w:hAnsi="Arial" w:eastAsia="Heiti SC" w:cs="Arial"/>
                <w:b w:val="0"/>
                <w:sz w:val="18"/>
              </w:rPr>
              <w:t>0.00277636</w:t>
            </w:r>
          </w:p>
        </w:tc>
        <w:tc>
          <w:tcPr>
            <w:tcW w:type="dxa" w:w="1786"/>
            <w:vAlign w:val="center"/>
            <w:shd w:fill="FFFFFF"/>
          </w:tcPr>
          <w:p>
            <w:pPr>
              <w:spacing w:after="0" w:before="0" w:line="269" w:lineRule="auto"/>
              <w:jc w:val="right"/>
            </w:pPr>
            <w:r>
              <w:rPr>
                <w:rFonts w:ascii="Arial" w:hAnsi="Arial" w:eastAsia="Heiti SC" w:cs="Arial"/>
                <w:b w:val="0"/>
                <w:sz w:val="18"/>
              </w:rPr>
              <w:t>0</w:t>
            </w:r>
          </w:p>
        </w:tc>
        <w:tc>
          <w:tcPr>
            <w:tcW w:type="dxa" w:w="1786"/>
            <w:vAlign w:val="center"/>
            <w:shd w:fill="FFFFFF"/>
          </w:tcPr>
          <w:p>
            <w:pPr>
              <w:spacing w:after="0" w:before="0" w:line="269" w:lineRule="auto"/>
              <w:jc w:val="right"/>
            </w:pPr>
            <w:r>
              <w:rPr>
                <w:rFonts w:ascii="Arial" w:hAnsi="Arial" w:eastAsia="Heiti SC" w:cs="Arial"/>
                <w:b w:val="0"/>
                <w:sz w:val="18"/>
              </w:rPr>
              <w:t>0</w:t>
            </w:r>
          </w:p>
        </w:tc>
        <w:tc>
          <w:tcPr>
            <w:tcW w:type="dxa" w:w="1786"/>
            <w:vAlign w:val="center"/>
            <w:shd w:fill="FFFFFF"/>
          </w:tcPr>
          <w:p>
            <w:pPr>
              <w:spacing w:after="0" w:before="0" w:line="269" w:lineRule="auto"/>
              <w:jc w:val="right"/>
            </w:pPr>
            <w:r>
              <w:rPr>
                <w:rFonts w:ascii="Arial" w:hAnsi="Arial" w:eastAsia="Heiti SC" w:cs="Arial"/>
                <w:b w:val="0"/>
                <w:sz w:val="18"/>
              </w:rPr>
              <w:t>0.00000001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18"/>
              </w:rPr>
              <w:t>第三轮</w:t>
            </w:r>
          </w:p>
        </w:tc>
        <w:tc>
          <w:tcPr>
            <w:tcW w:type="dxa" w:w="1786"/>
            <w:vAlign w:val="center"/>
            <w:shd w:fill="FFFFFF"/>
          </w:tcPr>
          <w:p>
            <w:pPr>
              <w:spacing w:after="0" w:before="0" w:line="269" w:lineRule="auto"/>
              <w:jc w:val="right"/>
            </w:pPr>
            <w:r>
              <w:rPr>
                <w:rFonts w:ascii="Arial" w:hAnsi="Arial" w:eastAsia="Heiti SC" w:cs="Arial"/>
                <w:b w:val="0"/>
                <w:sz w:val="18"/>
              </w:rPr>
              <w:t>0.00381541</w:t>
            </w:r>
          </w:p>
        </w:tc>
        <w:tc>
          <w:tcPr>
            <w:tcW w:type="dxa" w:w="1786"/>
            <w:vAlign w:val="center"/>
            <w:shd w:fill="FFFFFF"/>
          </w:tcPr>
          <w:p>
            <w:pPr>
              <w:spacing w:after="0" w:before="0" w:line="269" w:lineRule="auto"/>
              <w:jc w:val="right"/>
            </w:pPr>
            <w:r>
              <w:rPr>
                <w:rFonts w:ascii="Arial" w:hAnsi="Arial" w:eastAsia="Heiti SC" w:cs="Arial"/>
                <w:b w:val="0"/>
                <w:sz w:val="18"/>
              </w:rPr>
              <w:t>0.00381541</w:t>
            </w:r>
          </w:p>
        </w:tc>
        <w:tc>
          <w:tcPr>
            <w:tcW w:type="dxa" w:w="1786"/>
            <w:vAlign w:val="center"/>
            <w:shd w:fill="FFFFFF"/>
          </w:tcPr>
          <w:p>
            <w:pPr>
              <w:spacing w:after="0" w:before="0" w:line="269" w:lineRule="auto"/>
              <w:jc w:val="right"/>
            </w:pPr>
            <w:r>
              <w:rPr>
                <w:rFonts w:ascii="Arial" w:hAnsi="Arial" w:eastAsia="Heiti SC" w:cs="Arial"/>
                <w:b w:val="0"/>
                <w:sz w:val="18"/>
              </w:rPr>
              <w:t>0</w:t>
            </w:r>
          </w:p>
        </w:tc>
        <w:tc>
          <w:tcPr>
            <w:tcW w:type="dxa" w:w="1786"/>
            <w:vAlign w:val="center"/>
            <w:shd w:fill="FFFFFF"/>
          </w:tcPr>
          <w:p>
            <w:pPr>
              <w:spacing w:after="0" w:before="0" w:line="269" w:lineRule="auto"/>
              <w:jc w:val="right"/>
            </w:pPr>
            <w:r>
              <w:rPr>
                <w:rFonts w:ascii="Arial" w:hAnsi="Arial" w:eastAsia="Heiti SC" w:cs="Arial"/>
                <w:b w:val="0"/>
                <w:sz w:val="18"/>
              </w:rPr>
              <w:t>0</w:t>
            </w:r>
          </w:p>
        </w:tc>
        <w:tc>
          <w:tcPr>
            <w:tcW w:type="dxa" w:w="1786"/>
            <w:vAlign w:val="center"/>
            <w:shd w:fill="FFFFFF"/>
          </w:tcPr>
          <w:p>
            <w:pPr>
              <w:spacing w:after="0" w:before="0" w:line="269" w:lineRule="auto"/>
              <w:jc w:val="right"/>
            </w:pPr>
            <w:r>
              <w:rPr>
                <w:rFonts w:ascii="Arial" w:hAnsi="Arial" w:eastAsia="Heiti SC" w:cs="Arial"/>
                <w:b w:val="0"/>
                <w:sz w:val="18"/>
              </w:rPr>
              <w:t>0.00000001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18"/>
              </w:rPr>
              <w:t>第四轮</w:t>
            </w:r>
          </w:p>
        </w:tc>
        <w:tc>
          <w:tcPr>
            <w:tcW w:type="dxa" w:w="1786"/>
            <w:vAlign w:val="center"/>
            <w:shd w:fill="FFFFFF"/>
          </w:tcPr>
          <w:p>
            <w:pPr>
              <w:spacing w:after="0" w:before="0" w:line="269" w:lineRule="auto"/>
              <w:jc w:val="right"/>
            </w:pPr>
            <w:r>
              <w:rPr>
                <w:rFonts w:ascii="Arial" w:hAnsi="Arial" w:eastAsia="Heiti SC" w:cs="Arial"/>
                <w:b w:val="0"/>
                <w:sz w:val="18"/>
              </w:rPr>
              <w:t>0.00437579</w:t>
            </w:r>
          </w:p>
        </w:tc>
        <w:tc>
          <w:tcPr>
            <w:tcW w:type="dxa" w:w="1786"/>
            <w:vAlign w:val="center"/>
            <w:shd w:fill="FFFFFF"/>
          </w:tcPr>
          <w:p>
            <w:pPr>
              <w:spacing w:after="0" w:before="0" w:line="269" w:lineRule="auto"/>
              <w:jc w:val="right"/>
            </w:pPr>
            <w:r>
              <w:rPr>
                <w:rFonts w:ascii="Arial" w:hAnsi="Arial" w:eastAsia="Heiti SC" w:cs="Arial"/>
                <w:b w:val="0"/>
                <w:sz w:val="18"/>
              </w:rPr>
              <w:t>0.00437579</w:t>
            </w:r>
          </w:p>
        </w:tc>
        <w:tc>
          <w:tcPr>
            <w:tcW w:type="dxa" w:w="1786"/>
            <w:vAlign w:val="center"/>
            <w:shd w:fill="FFFFFF"/>
          </w:tcPr>
          <w:p>
            <w:pPr>
              <w:spacing w:after="0" w:before="0" w:line="269" w:lineRule="auto"/>
              <w:jc w:val="right"/>
            </w:pPr>
            <w:r>
              <w:rPr>
                <w:rFonts w:ascii="Arial" w:hAnsi="Arial" w:eastAsia="Heiti SC" w:cs="Arial"/>
                <w:b w:val="0"/>
                <w:sz w:val="18"/>
              </w:rPr>
              <w:t>0</w:t>
            </w:r>
          </w:p>
        </w:tc>
        <w:tc>
          <w:tcPr>
            <w:tcW w:type="dxa" w:w="1786"/>
            <w:vAlign w:val="center"/>
            <w:shd w:fill="FFFFFF"/>
          </w:tcPr>
          <w:p>
            <w:pPr>
              <w:spacing w:after="0" w:before="0" w:line="269" w:lineRule="auto"/>
              <w:jc w:val="right"/>
            </w:pPr>
            <w:r>
              <w:rPr>
                <w:rFonts w:ascii="Arial" w:hAnsi="Arial" w:eastAsia="Heiti SC" w:cs="Arial"/>
                <w:b w:val="0"/>
                <w:sz w:val="18"/>
              </w:rPr>
              <w:t>0</w:t>
            </w:r>
          </w:p>
        </w:tc>
        <w:tc>
          <w:tcPr>
            <w:tcW w:type="dxa" w:w="1786"/>
            <w:vAlign w:val="center"/>
            <w:shd w:fill="FFFFFF"/>
          </w:tcPr>
          <w:p>
            <w:pPr>
              <w:spacing w:after="0" w:before="0" w:line="269" w:lineRule="auto"/>
              <w:jc w:val="right"/>
            </w:pPr>
            <w:r>
              <w:rPr>
                <w:rFonts w:ascii="Arial" w:hAnsi="Arial" w:eastAsia="Heiti SC" w:cs="Arial"/>
                <w:b w:val="0"/>
                <w:sz w:val="18"/>
              </w:rPr>
              <w:t>0</w:t>
            </w:r>
          </w:p>
        </w:tc>
      </w:tr>
    </w:tbl>
    <w:p>
      <w:pPr>
        <w:spacing w:after="40" w:line="96" w:lineRule="auto"/>
      </w:pPr>
    </w:p>
    <w:p>
      <w:pPr>
        <w:pStyle w:val="Heading1"/>
      </w:pPr>
      <w:r>
        <w:rPr>
          <w:rFonts w:ascii="Arial" w:hAnsi="Arial" w:eastAsia="Heiti SC" w:cs="Arial"/>
          <w:b w:val="0"/>
        </w:rPr>
        <w:t>3 四轮测试过程与结论</w:t>
      </w:r>
    </w:p>
    <w:p>
      <w:pPr>
        <w:pStyle w:val="Heading2"/>
      </w:pPr>
      <w:r>
        <w:rPr>
          <w:rFonts w:ascii="Arial" w:hAnsi="Arial" w:eastAsia="Heiti SC" w:cs="Arial"/>
          <w:b w:val="0"/>
        </w:rPr>
        <w:t>第一轮 A 单独领取</w:t>
      </w:r>
    </w:p>
    <w:p>
      <w:r>
        <w:rPr>
          <w:rFonts w:ascii="Arial" w:hAnsi="Arial" w:eastAsia="Heiti SC" w:cs="Arial"/>
          <w:b w:val="0"/>
        </w:rPr>
        <w:t>目的：验证 A 领取不会消耗 B 的份额，记录留待后续比对的基准。</w:t>
      </w:r>
    </w:p>
    <w:p>
      <w:r>
        <w:rPr>
          <w:rFonts w:ascii="Arial" w:hAnsi="Arial" w:eastAsia="Heiti SC" w:cs="Arial"/>
          <w:b w:val="0"/>
        </w:rPr>
        <w:t>固定基线区块 125545165 的 Mining pending 为 0.00080680 BEM。A 在区块 125545984 调用 harvestAndClaim([1])；交易前一区块 pending 为 0.00083930 BEM，交易真实转入 Vault 为 0.00084916 BEM。</w:t>
      </w:r>
    </w:p>
    <w:p>
      <w:r>
        <w:rPr>
          <w:rFonts w:ascii="Arial" w:hAnsi="Arial" w:eastAsia="Heiti SC" w:cs="Arial"/>
          <w:b w:val="0"/>
        </w:rPr>
        <w:t xml:space="preserve">A 实收 </w:t>
      </w:r>
      <w:r>
        <w:rPr>
          <w:rFonts w:ascii="Arial" w:hAnsi="Arial" w:eastAsia="Heiti SC" w:cs="Arial"/>
          <w:b/>
        </w:rPr>
        <w:t>0.00042458 BEM</w:t>
      </w:r>
      <w:r>
        <w:rPr>
          <w:rFonts w:ascii="Arial" w:hAnsi="Arial" w:eastAsia="Heiti SC" w:cs="Arial"/>
          <w:b w:val="0"/>
        </w:rPr>
        <w:t xml:space="preserve">，B 实收 </w:t>
      </w:r>
      <w:r>
        <w:rPr>
          <w:rFonts w:ascii="Arial" w:hAnsi="Arial" w:eastAsia="Heiti SC" w:cs="Arial"/>
          <w:b/>
        </w:rPr>
        <w:t>0</w:t>
      </w:r>
      <w:r>
        <w:rPr>
          <w:rFonts w:ascii="Arial" w:hAnsi="Arial" w:eastAsia="Heiti SC" w:cs="Arial"/>
          <w:b w:val="0"/>
        </w:rPr>
        <w:t>。结束时 Vault 留有 0.00042458 BEM，全部对应 #2 的未领权益；claimed(2) 保持 0。A 的收款事件与 BEM 转账匹配，矿机仍在 Vault。结论：A 单独领取通过，B 的未领收益保留。对应交易 T03。</w:t>
      </w:r>
    </w:p>
    <w:p>
      <w:pPr>
        <w:pStyle w:val="Heading2"/>
      </w:pPr>
      <w:r>
        <w:rPr>
          <w:rFonts w:ascii="Arial" w:hAnsi="Arial" w:eastAsia="Heiti SC" w:cs="Arial"/>
          <w:b w:val="0"/>
        </w:rPr>
        <w:t>第二轮 A 与 B 结算同一批收入</w:t>
      </w:r>
    </w:p>
    <w:p>
      <w:r>
        <w:rPr>
          <w:rFonts w:ascii="Arial" w:hAnsi="Arial" w:eastAsia="Heiti SC" w:cs="Arial"/>
          <w:b w:val="0"/>
        </w:rPr>
        <w:t>目的：验证第一轮留下的 B 权益可以在后续补领，且自合约创建起两份额累计领取一致。</w:t>
      </w:r>
    </w:p>
    <w:p>
      <w:r>
        <w:rPr>
          <w:rFonts w:ascii="Arial" w:hAnsi="Arial" w:eastAsia="Heiti SC" w:cs="Arial"/>
          <w:b w:val="0"/>
        </w:rPr>
        <w:t>A 在区块 125643420 收取 Mining 收益并领取 #1，随后 B 在区块 125643527 普通领取 #2。A 的交易新增到账 0.00470357 BEM；B 的交易没有再次收取或产生新 BEM 入账，两次结算采用相同的累计收入截止。</w:t>
      </w:r>
    </w:p>
    <w:p>
      <w:r>
        <w:rPr>
          <w:rFonts w:ascii="Arial" w:hAnsi="Arial" w:eastAsia="Heiti SC" w:cs="Arial"/>
          <w:b w:val="0"/>
        </w:rPr>
        <w:t xml:space="preserve">A 本轮实收 </w:t>
      </w:r>
      <w:r>
        <w:rPr>
          <w:rFonts w:ascii="Arial" w:hAnsi="Arial" w:eastAsia="Heiti SC" w:cs="Arial"/>
          <w:b/>
        </w:rPr>
        <w:t>0.00235178 BEM</w:t>
      </w:r>
      <w:r>
        <w:rPr>
          <w:rFonts w:ascii="Arial" w:hAnsi="Arial" w:eastAsia="Heiti SC" w:cs="Arial"/>
          <w:b w:val="0"/>
        </w:rPr>
        <w:t xml:space="preserve">，B 本轮实收 </w:t>
      </w:r>
      <w:r>
        <w:rPr>
          <w:rFonts w:ascii="Arial" w:hAnsi="Arial" w:eastAsia="Heiti SC" w:cs="Arial"/>
          <w:b/>
        </w:rPr>
        <w:t>0.00277636 BEM</w:t>
      </w:r>
      <w:r>
        <w:rPr>
          <w:rFonts w:ascii="Arial" w:hAnsi="Arial" w:eastAsia="Heiti SC" w:cs="Arial"/>
          <w:b w:val="0"/>
        </w:rPr>
        <w:t xml:space="preserve">。B 多出的 0.00042458 BEM 正是第一轮保留的未领部分。两份额累计已领均为 </w:t>
      </w:r>
      <w:r>
        <w:rPr>
          <w:rFonts w:ascii="Arial" w:hAnsi="Arial" w:eastAsia="Heiti SC" w:cs="Arial"/>
          <w:b/>
        </w:rPr>
        <w:t>0.00277636 BEM</w:t>
      </w:r>
      <w:r>
        <w:rPr>
          <w:rFonts w:ascii="Arial" w:hAnsi="Arial" w:eastAsia="Heiti SC" w:cs="Arial"/>
          <w:b w:val="0"/>
        </w:rPr>
        <w:t>，剩余可领均为 0，Vault 留有 0.00000001 BEM 尾数。</w:t>
      </w:r>
    </w:p>
    <w:p>
      <w:r>
        <w:rPr>
          <w:rFonts w:ascii="Arial" w:hAnsi="Arial" w:eastAsia="Heiti SC" w:cs="Arial"/>
          <w:b w:val="0"/>
        </w:rPr>
        <w:t>结论：交易无需同时发出，也可以对同一批到账收益进行公平结算。判断标准是累计权益一致，不是每笔或每轮付款必须相同。对应交易 T04、T05。</w:t>
      </w:r>
    </w:p>
    <w:p>
      <w:pPr>
        <w:pStyle w:val="Heading2"/>
      </w:pPr>
      <w:r>
        <w:rPr>
          <w:rFonts w:ascii="Arial" w:hAnsi="Arial" w:eastAsia="Heiti SC" w:cs="Arial"/>
          <w:b w:val="0"/>
        </w:rPr>
        <w:t>第三轮 A 转出后由 owner 领取</w:t>
      </w:r>
    </w:p>
    <w:p>
      <w:r>
        <w:rPr>
          <w:rFonts w:ascii="Arial" w:hAnsi="Arial" w:eastAsia="Heiti SC" w:cs="Arial"/>
          <w:b w:val="0"/>
        </w:rPr>
        <w:t>目的：验证新地址接收 #1 后可以领取，原持有人失去领取权，已领记录不会清零。</w:t>
      </w:r>
    </w:p>
    <w:p>
      <w:r>
        <w:rPr>
          <w:rFonts w:ascii="Arial" w:hAnsi="Arial" w:eastAsia="Heiti SC" w:cs="Arial"/>
          <w:b w:val="0"/>
        </w:rPr>
        <w:t>A 在区块 125686386 将 #1 转给 owner。转移前一区块 Mining pending 为 0.00206523 BEM；此时 Vault 中 #1 的可领金额为 0，历史已领为 0.00277636 BEM。转移没有产生 BEM 付款，也没有改变已领账本。</w:t>
      </w:r>
    </w:p>
    <w:p>
      <w:r>
        <w:rPr>
          <w:rFonts w:ascii="Arial" w:hAnsi="Arial" w:eastAsia="Heiti SC" w:cs="Arial"/>
          <w:b w:val="0"/>
        </w:rPr>
        <w:t xml:space="preserve">owner 在区块 125686477 收取并领取 #1，真实新增到账为 0.00207810 BEM；B 随后在区块 125686606 普通领取 #2。owner 与 B 本轮各收 </w:t>
      </w:r>
      <w:r>
        <w:rPr>
          <w:rFonts w:ascii="Arial" w:hAnsi="Arial" w:eastAsia="Heiti SC" w:cs="Arial"/>
          <w:b/>
        </w:rPr>
        <w:t>0.00103905 BEM</w:t>
      </w:r>
      <w:r>
        <w:rPr>
          <w:rFonts w:ascii="Arial" w:hAnsi="Arial" w:eastAsia="Heiti SC" w:cs="Arial"/>
          <w:b w:val="0"/>
        </w:rPr>
        <w:t>，A 本轮收款为 0。</w:t>
      </w:r>
    </w:p>
    <w:p>
      <w:r>
        <w:rPr>
          <w:rFonts w:ascii="Arial" w:hAnsi="Arial" w:eastAsia="Heiti SC" w:cs="Arial"/>
          <w:b w:val="0"/>
        </w:rPr>
        <w:t xml:space="preserve">#1 的累计支付为 A 历史 0.00277636 加 owner 0.00103905，合计 </w:t>
      </w:r>
      <w:r>
        <w:rPr>
          <w:rFonts w:ascii="Arial" w:hAnsi="Arial" w:eastAsia="Heiti SC" w:cs="Arial"/>
          <w:b/>
        </w:rPr>
        <w:t>0.00381541 BEM</w:t>
      </w:r>
      <w:r>
        <w:rPr>
          <w:rFonts w:ascii="Arial" w:hAnsi="Arial" w:eastAsia="Heiti SC" w:cs="Arial"/>
          <w:b w:val="0"/>
        </w:rPr>
        <w:t xml:space="preserve">；#2 的 B 累计支付同样为 </w:t>
      </w:r>
      <w:r>
        <w:rPr>
          <w:rFonts w:ascii="Arial" w:hAnsi="Arial" w:eastAsia="Heiti SC" w:cs="Arial"/>
          <w:b/>
        </w:rPr>
        <w:t>0.00381541 BEM</w:t>
      </w:r>
      <w:r>
        <w:rPr>
          <w:rFonts w:ascii="Arial" w:hAnsi="Arial" w:eastAsia="Heiti SC" w:cs="Arial"/>
          <w:b w:val="0"/>
        </w:rPr>
        <w:t>。转出后的 A 在固定区块模拟中调用 #1 领取返回 Unauthorized。</w:t>
      </w:r>
    </w:p>
    <w:p>
      <w:r>
        <w:rPr>
          <w:rFonts w:ascii="Arial" w:hAnsi="Arial" w:eastAsia="Heiti SC" w:cs="Arial"/>
          <w:b w:val="0"/>
        </w:rPr>
        <w:t>结论：新持有人能够接续领取，历史账本连续。该轮覆盖了 Mining 尚未收取的收益；由于转移前 #1 在 Vault 内可领为 0，已到账正数权益的转移另由第四轮验证。对应交易 T06 至 T08。</w:t>
      </w:r>
    </w:p>
    <w:p>
      <w:pPr>
        <w:pStyle w:val="Heading2"/>
      </w:pPr>
      <w:r>
        <w:rPr>
          <w:rFonts w:ascii="Arial" w:hAnsi="Arial" w:eastAsia="Heiti SC" w:cs="Arial"/>
          <w:b w:val="0"/>
        </w:rPr>
        <w:t>第四轮 已到账未领权益随份额转回 A</w:t>
      </w:r>
    </w:p>
    <w:p>
      <w:r>
        <w:rPr>
          <w:rFonts w:ascii="Arial" w:hAnsi="Arial" w:eastAsia="Heiti SC" w:cs="Arial"/>
          <w:b w:val="0"/>
        </w:rPr>
        <w:t>目的：直接验证 Vault 内已经到账、金额大于 0 的未领收益随 #1 转移，并由新持有人实际领取。</w:t>
      </w:r>
    </w:p>
    <w:p>
      <w:r>
        <w:rPr>
          <w:rFonts w:ascii="Arial" w:hAnsi="Arial" w:eastAsia="Heiti SC" w:cs="Arial"/>
          <w:b w:val="0"/>
        </w:rPr>
        <w:t xml:space="preserve">owner 在区块 125709696 只执行 harvest，不领取。真实新增到账 0.00112075 BEM，加上原有尾数 0.00000001 BEM 后，Vault 余额为 0.00112076 BEM，#1、#2 各可领 </w:t>
      </w:r>
      <w:r>
        <w:rPr>
          <w:rFonts w:ascii="Arial" w:hAnsi="Arial" w:eastAsia="Heiti SC" w:cs="Arial"/>
          <w:b/>
        </w:rPr>
        <w:t>0.00056038 BEM</w:t>
      </w:r>
      <w:r>
        <w:rPr>
          <w:rFonts w:ascii="Arial" w:hAnsi="Arial" w:eastAsia="Heiti SC" w:cs="Arial"/>
          <w:b w:val="0"/>
        </w:rPr>
        <w:t>。</w:t>
      </w:r>
    </w:p>
    <w:p>
      <w:r>
        <w:rPr>
          <w:rFonts w:ascii="Arial" w:hAnsi="Arial" w:eastAsia="Heiti SC" w:cs="Arial"/>
          <w:b w:val="0"/>
        </w:rPr>
        <w:t xml:space="preserve">owner 在区块 125712342 将 #1 转回 A。转移前一区块与转移所在区块末，#1 可领都为 </w:t>
      </w:r>
      <w:r>
        <w:rPr>
          <w:rFonts w:ascii="Arial" w:hAnsi="Arial" w:eastAsia="Heiti SC" w:cs="Arial"/>
          <w:b/>
        </w:rPr>
        <w:t>0.00056038 BEM</w:t>
      </w:r>
      <w:r>
        <w:rPr>
          <w:rFonts w:ascii="Arial" w:hAnsi="Arial" w:eastAsia="Heiti SC" w:cs="Arial"/>
          <w:b w:val="0"/>
        </w:rPr>
        <w:t>，claimed(1) 都为 0.00381541 BEM；转移回执无会计更新或 BEM 支付。</w:t>
      </w:r>
    </w:p>
    <w:p>
      <w:r>
        <w:rPr>
          <w:rFonts w:ascii="Arial" w:hAnsi="Arial" w:eastAsia="Heiti SC" w:cs="Arial"/>
          <w:b w:val="0"/>
        </w:rPr>
        <w:t xml:space="preserve">A 在区块 125712543 普通领取 #1，实收 </w:t>
      </w:r>
      <w:r>
        <w:rPr>
          <w:rFonts w:ascii="Arial" w:hAnsi="Arial" w:eastAsia="Heiti SC" w:cs="Arial"/>
          <w:b/>
        </w:rPr>
        <w:t>0.00056038 BEM</w:t>
      </w:r>
      <w:r>
        <w:rPr>
          <w:rFonts w:ascii="Arial" w:hAnsi="Arial" w:eastAsia="Heiti SC" w:cs="Arial"/>
          <w:b w:val="0"/>
        </w:rPr>
        <w:t>；B 在区块 125712665 普通领取 #2，实收相同金额。两笔领取的新增同步入账均为 0，累计收入截止一致。转出后的 owner 在固定区块模拟中领取 #1 返回 Unauthorized。</w:t>
      </w:r>
    </w:p>
    <w:p>
      <w:r>
        <w:rPr>
          <w:rFonts w:ascii="Arial" w:hAnsi="Arial" w:eastAsia="Heiti SC" w:cs="Arial"/>
          <w:b w:val="0"/>
        </w:rPr>
        <w:t>结论：正数已到账未领权益完整随 NFT 转移，新持有人成功领取，旧持有人不再有该份额的领取权，历史已领金额未被重复支付。对应交易 T09 至 T12。</w:t>
      </w:r>
    </w:p>
    <w:p>
      <w:pPr>
        <w:pStyle w:val="Heading1"/>
      </w:pPr>
      <w:r>
        <w:rPr>
          <w:rFonts w:ascii="Arial" w:hAnsi="Arial" w:eastAsia="Heiti SC" w:cs="Arial"/>
          <w:b w:val="0"/>
        </w:rPr>
        <w:t>4 权限变化与最终对账</w:t>
      </w:r>
    </w:p>
    <w:p>
      <w:pPr>
        <w:pStyle w:val="Heading2"/>
      </w:pPr>
      <w:r>
        <w:rPr>
          <w:rFonts w:ascii="Arial" w:hAnsi="Arial" w:eastAsia="Heiti SC" w:cs="Arial"/>
          <w:b w:val="0"/>
        </w:rPr>
        <w:t>固定区块权限模拟</w:t>
      </w:r>
    </w:p>
    <w:p>
      <w:r>
        <w:rPr>
          <w:rFonts w:ascii="Arial" w:hAnsi="Arial" w:eastAsia="Heiti SC" w:cs="Arial"/>
          <w:b w:val="0"/>
        </w:rPr>
        <w:t>以下均为只读 eth_call 返回结果，没有为验证拒绝行为广播失败交易。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90" w:type="dxa"/>
          <w:right w:w="90" w:type="dxa"/>
        </w:tblCellMar>
      </w:tblPr>
      <w:tblGrid>
        <w:gridCol w:w="2160"/>
        <w:gridCol w:w="1800"/>
        <w:gridCol w:w="1440"/>
        <w:gridCol w:w="1584"/>
        <w:gridCol w:w="3096"/>
      </w:tblGrid>
      <w:tr>
        <w:trPr>
          <w:cantSplit/>
          <w:tblHeader/>
        </w:trPr>
        <w:tc>
          <w:tcPr>
            <w:tcW w:type="dxa" w:w="2160"/>
            <w:vAlign w:val="center"/>
            <w:shd w:fill="DDEAF3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/>
                <w:sz w:val="18"/>
              </w:rPr>
              <w:t>检查</w:t>
            </w:r>
          </w:p>
        </w:tc>
        <w:tc>
          <w:tcPr>
            <w:tcW w:type="dxa" w:w="1800"/>
            <w:vAlign w:val="center"/>
            <w:shd w:fill="DDEAF3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/>
                <w:sz w:val="18"/>
              </w:rPr>
              <w:t>区块</w:t>
            </w:r>
          </w:p>
        </w:tc>
        <w:tc>
          <w:tcPr>
            <w:tcW w:type="dxa" w:w="1440"/>
            <w:vAlign w:val="center"/>
            <w:shd w:fill="DDEAF3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/>
                <w:sz w:val="18"/>
              </w:rPr>
              <w:t>#1 持有人</w:t>
            </w:r>
          </w:p>
        </w:tc>
        <w:tc>
          <w:tcPr>
            <w:tcW w:type="dxa" w:w="1584"/>
            <w:vAlign w:val="center"/>
            <w:shd w:fill="DDEAF3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/>
                <w:sz w:val="18"/>
              </w:rPr>
              <w:t>模拟调用者</w:t>
            </w:r>
          </w:p>
        </w:tc>
        <w:tc>
          <w:tcPr>
            <w:tcW w:type="dxa" w:w="3096"/>
            <w:vAlign w:val="center"/>
            <w:shd w:fill="DDEAF3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/>
                <w:sz w:val="18"/>
              </w:rPr>
              <w:t>结果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18"/>
              </w:rPr>
              <w:t>第三轮转移前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after="0" w:before="0" w:line="269" w:lineRule="auto"/>
              <w:jc w:val="right"/>
            </w:pPr>
            <w:r>
              <w:rPr>
                <w:rFonts w:ascii="Arial" w:hAnsi="Arial" w:eastAsia="Heiti SC" w:cs="Arial"/>
                <w:b w:val="0"/>
                <w:sz w:val="18"/>
              </w:rPr>
              <w:t>125646568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18"/>
              </w:rPr>
              <w:t>A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18"/>
              </w:rPr>
              <w:t>owner</w:t>
            </w:r>
          </w:p>
        </w:tc>
        <w:tc>
          <w:tcPr>
            <w:tcW w:type="dxa" w:w="3096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18"/>
              </w:rPr>
              <w:t>Unauthorized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18"/>
              </w:rPr>
              <w:t>第三轮转移后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after="0" w:before="0" w:line="269" w:lineRule="auto"/>
              <w:jc w:val="right"/>
            </w:pPr>
            <w:r>
              <w:rPr>
                <w:rFonts w:ascii="Arial" w:hAnsi="Arial" w:eastAsia="Heiti SC" w:cs="Arial"/>
                <w:b w:val="0"/>
                <w:sz w:val="18"/>
              </w:rPr>
              <w:t>125686386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18"/>
              </w:rPr>
              <w:t>owner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18"/>
              </w:rPr>
              <w:t>A</w:t>
            </w:r>
          </w:p>
        </w:tc>
        <w:tc>
          <w:tcPr>
            <w:tcW w:type="dxa" w:w="3096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18"/>
              </w:rPr>
              <w:t>Unauthorized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18"/>
              </w:rPr>
              <w:t>第四轮转移前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after="0" w:before="0" w:line="269" w:lineRule="auto"/>
              <w:jc w:val="right"/>
            </w:pPr>
            <w:r>
              <w:rPr>
                <w:rFonts w:ascii="Arial" w:hAnsi="Arial" w:eastAsia="Heiti SC" w:cs="Arial"/>
                <w:b w:val="0"/>
                <w:sz w:val="18"/>
              </w:rPr>
              <w:t>125706961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18"/>
              </w:rPr>
              <w:t>owner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18"/>
              </w:rPr>
              <w:t>A</w:t>
            </w:r>
          </w:p>
        </w:tc>
        <w:tc>
          <w:tcPr>
            <w:tcW w:type="dxa" w:w="3096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18"/>
              </w:rPr>
              <w:t>Unauthorized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18"/>
              </w:rPr>
              <w:t>第四轮转移后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after="0" w:before="0" w:line="269" w:lineRule="auto"/>
              <w:jc w:val="right"/>
            </w:pPr>
            <w:r>
              <w:rPr>
                <w:rFonts w:ascii="Arial" w:hAnsi="Arial" w:eastAsia="Heiti SC" w:cs="Arial"/>
                <w:b w:val="0"/>
                <w:sz w:val="18"/>
              </w:rPr>
              <w:t>125712342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18"/>
              </w:rPr>
              <w:t>A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18"/>
              </w:rPr>
              <w:t>owner</w:t>
            </w:r>
          </w:p>
        </w:tc>
        <w:tc>
          <w:tcPr>
            <w:tcW w:type="dxa" w:w="3096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18"/>
              </w:rPr>
              <w:t>Unauthorized</w:t>
            </w:r>
          </w:p>
        </w:tc>
      </w:tr>
    </w:tbl>
    <w:p>
      <w:pPr>
        <w:spacing w:after="40" w:line="96" w:lineRule="auto"/>
      </w:pPr>
    </w:p>
    <w:p>
      <w:r>
        <w:rPr>
          <w:rFonts w:ascii="Arial" w:hAnsi="Arial" w:eastAsia="Heiti SC" w:cs="Arial"/>
          <w:b w:val="0"/>
        </w:rPr>
        <w:t>owner 身份本身不会赋予未持有份额的 BEM 领取权。合约的矿机正常取回与紧急取回是另外的权限路径，不能与份额收益领取混为一谈。</w:t>
      </w:r>
    </w:p>
    <w:p>
      <w:pPr>
        <w:pStyle w:val="Heading2"/>
      </w:pPr>
      <w:r>
        <w:rPr>
          <w:rFonts w:ascii="Arial" w:hAnsi="Arial" w:eastAsia="Heiti SC" w:cs="Arial"/>
          <w:b w:val="0"/>
        </w:rPr>
        <w:t>截止区块的资产状态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90" w:type="dxa"/>
          <w:right w:w="90" w:type="dxa"/>
        </w:tblCellMar>
      </w:tblPr>
      <w:tblGrid>
        <w:gridCol w:w="2189"/>
        <w:gridCol w:w="7891"/>
      </w:tblGrid>
      <w:tr>
        <w:trPr>
          <w:cantSplit/>
          <w:tblHeader/>
        </w:trPr>
        <w:tc>
          <w:tcPr>
            <w:tcW w:type="dxa" w:w="2189"/>
            <w:vAlign w:val="center"/>
            <w:shd w:fill="DDEAF3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/>
                <w:sz w:val="20"/>
              </w:rPr>
              <w:t>指标</w:t>
            </w:r>
          </w:p>
        </w:tc>
        <w:tc>
          <w:tcPr>
            <w:tcW w:type="dxa" w:w="7891"/>
            <w:vAlign w:val="center"/>
            <w:shd w:fill="DDEAF3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/>
                <w:sz w:val="20"/>
              </w:rPr>
              <w:t>结果</w:t>
            </w:r>
          </w:p>
        </w:tc>
      </w:tr>
      <w:tr>
        <w:trPr>
          <w:cantSplit/>
        </w:trPr>
        <w:tc>
          <w:tcPr>
            <w:tcW w:type="dxa" w:w="2189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20"/>
              </w:rPr>
              <w:t>截止区块与北京时间</w:t>
            </w:r>
          </w:p>
        </w:tc>
        <w:tc>
          <w:tcPr>
            <w:tcW w:type="dxa" w:w="7891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20"/>
              </w:rPr>
              <w:t>125712665；2026-10-05 01:01:09</w:t>
            </w:r>
          </w:p>
        </w:tc>
      </w:tr>
      <w:tr>
        <w:trPr>
          <w:cantSplit/>
        </w:trPr>
        <w:tc>
          <w:tcPr>
            <w:tcW w:type="dxa" w:w="2189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20"/>
              </w:rPr>
              <w:t>矿机 #3204 归属与 Vault 状态</w:t>
            </w:r>
          </w:p>
        </w:tc>
        <w:tc>
          <w:tcPr>
            <w:tcW w:type="dxa" w:w="7891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20"/>
              </w:rPr>
              <w:t>Vault 持有；Active</w:t>
            </w:r>
          </w:p>
        </w:tc>
      </w:tr>
      <w:tr>
        <w:trPr>
          <w:cantSplit/>
        </w:trPr>
        <w:tc>
          <w:tcPr>
            <w:tcW w:type="dxa" w:w="2189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20"/>
              </w:rPr>
              <w:t>份额 #1 / #2 持有人</w:t>
            </w:r>
          </w:p>
        </w:tc>
        <w:tc>
          <w:tcPr>
            <w:tcW w:type="dxa" w:w="7891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20"/>
              </w:rPr>
              <w:t>A / B</w:t>
            </w:r>
          </w:p>
        </w:tc>
      </w:tr>
      <w:tr>
        <w:trPr>
          <w:cantSplit/>
        </w:trPr>
        <w:tc>
          <w:tcPr>
            <w:tcW w:type="dxa" w:w="2189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20"/>
              </w:rPr>
              <w:t>totalReceived / totalPaid</w:t>
            </w:r>
          </w:p>
        </w:tc>
        <w:tc>
          <w:tcPr>
            <w:tcW w:type="dxa" w:w="7891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20"/>
              </w:rPr>
              <w:t>0.00875158 / 0.00875158 BEM</w:t>
            </w:r>
          </w:p>
        </w:tc>
      </w:tr>
      <w:tr>
        <w:trPr>
          <w:cantSplit/>
        </w:trPr>
        <w:tc>
          <w:tcPr>
            <w:tcW w:type="dxa" w:w="2189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20"/>
              </w:rPr>
              <w:t>#1 / #2 累计已领</w:t>
            </w:r>
          </w:p>
        </w:tc>
        <w:tc>
          <w:tcPr>
            <w:tcW w:type="dxa" w:w="7891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20"/>
              </w:rPr>
              <w:t>0.00437579 / 0.00437579 BEM</w:t>
            </w:r>
          </w:p>
        </w:tc>
      </w:tr>
      <w:tr>
        <w:trPr>
          <w:cantSplit/>
        </w:trPr>
        <w:tc>
          <w:tcPr>
            <w:tcW w:type="dxa" w:w="2189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20"/>
              </w:rPr>
              <w:t>#1 / #2 已到账可领</w:t>
            </w:r>
          </w:p>
        </w:tc>
        <w:tc>
          <w:tcPr>
            <w:tcW w:type="dxa" w:w="7891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20"/>
              </w:rPr>
              <w:t>0 / 0 BEM</w:t>
            </w:r>
          </w:p>
        </w:tc>
      </w:tr>
      <w:tr>
        <w:trPr>
          <w:cantSplit/>
        </w:trPr>
        <w:tc>
          <w:tcPr>
            <w:tcW w:type="dxa" w:w="2189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20"/>
              </w:rPr>
              <w:t>Vault 余额 / 分配尾数</w:t>
            </w:r>
          </w:p>
        </w:tc>
        <w:tc>
          <w:tcPr>
            <w:tcW w:type="dxa" w:w="7891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20"/>
              </w:rPr>
              <w:t>0 / 0 BEM</w:t>
            </w:r>
          </w:p>
        </w:tc>
      </w:tr>
      <w:tr>
        <w:trPr>
          <w:cantSplit/>
        </w:trPr>
        <w:tc>
          <w:tcPr>
            <w:tcW w:type="dxa" w:w="2189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20"/>
              </w:rPr>
              <w:t>Mining 尚未收取的 pending</w:t>
            </w:r>
          </w:p>
        </w:tc>
        <w:tc>
          <w:tcPr>
            <w:tcW w:type="dxa" w:w="7891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/>
                <w:sz w:val="20"/>
              </w:rPr>
              <w:t>0.00014315 BEM</w:t>
            </w:r>
          </w:p>
        </w:tc>
      </w:tr>
    </w:tbl>
    <w:p>
      <w:pPr>
        <w:spacing w:after="40" w:line="96" w:lineRule="auto"/>
      </w:pPr>
    </w:p>
    <w:p>
      <w:r>
        <w:rPr>
          <w:rFonts w:ascii="Arial" w:hAnsi="Arial" w:eastAsia="Heiti SC" w:cs="Arial"/>
          <w:b w:val="0"/>
        </w:rPr>
        <w:t xml:space="preserve">守恒核对：0.00333674（A）+ 0.00103905（owner）+ 0.00437579（B）= </w:t>
      </w:r>
      <w:r>
        <w:rPr>
          <w:rFonts w:ascii="Arial" w:hAnsi="Arial" w:eastAsia="Heiti SC" w:cs="Arial"/>
          <w:b/>
        </w:rPr>
        <w:t>0.00875158 BEM</w:t>
      </w:r>
      <w:r>
        <w:rPr>
          <w:rFonts w:ascii="Arial" w:hAnsi="Arial" w:eastAsia="Heiti SC" w:cs="Arial"/>
          <w:b w:val="0"/>
        </w:rPr>
        <w:t>。累计到账 = 累计支付 + Vault 余额，差额为 0。</w:t>
      </w:r>
    </w:p>
    <w:p>
      <w:r>
        <w:rPr>
          <w:rFonts w:ascii="Arial" w:hAnsi="Arial" w:eastAsia="Heiti SC" w:cs="Arial"/>
          <w:b w:val="0"/>
        </w:rPr>
        <w:t xml:space="preserve">按份额核对：#1 的 A + owner = </w:t>
      </w:r>
      <w:r>
        <w:rPr>
          <w:rFonts w:ascii="Arial" w:hAnsi="Arial" w:eastAsia="Heiti SC" w:cs="Arial"/>
          <w:b/>
        </w:rPr>
        <w:t>0.00437579 BEM</w:t>
      </w:r>
      <w:r>
        <w:rPr>
          <w:rFonts w:ascii="Arial" w:hAnsi="Arial" w:eastAsia="Heiti SC" w:cs="Arial"/>
          <w:b w:val="0"/>
        </w:rPr>
        <w:t xml:space="preserve">，#2 的 B = </w:t>
      </w:r>
      <w:r>
        <w:rPr>
          <w:rFonts w:ascii="Arial" w:hAnsi="Arial" w:eastAsia="Heiti SC" w:cs="Arial"/>
          <w:b/>
        </w:rPr>
        <w:t>0.00437579 BEM</w:t>
      </w:r>
      <w:r>
        <w:rPr>
          <w:rFonts w:ascii="Arial" w:hAnsi="Arial" w:eastAsia="Heiti SC" w:cs="Arial"/>
          <w:b w:val="0"/>
        </w:rPr>
        <w:t>，两份额差额为 0。对账覆盖部署区块 125537081 至 125712665 的 7 条 RewardClaimed 和 7 条对应 BEM 付款记录。</w:t>
      </w:r>
    </w:p>
    <w:p>
      <w:r>
        <w:rPr>
          <w:rFonts w:ascii="Arial" w:hAnsi="Arial" w:eastAsia="Heiti SC" w:cs="Arial"/>
          <w:b w:val="0"/>
        </w:rPr>
        <w:t>Vault 内本批收入已结清，但 Mining 中的 0.00014315 BEM 尚未收取，不包含在累计到账与累计支付中；不能表述为所有收益已经领取完毕。</w:t>
      </w:r>
    </w:p>
    <w:p>
      <w:pPr>
        <w:pStyle w:val="Heading1"/>
      </w:pPr>
      <w:r>
        <w:rPr>
          <w:rFonts w:ascii="Arial" w:hAnsi="Arial" w:eastAsia="Heiti SC" w:cs="Arial"/>
          <w:b w:val="0"/>
        </w:rPr>
        <w:t>5 本地工程与模拟测试汇总</w:t>
      </w:r>
    </w:p>
    <w:p>
      <w:r>
        <w:rPr>
          <w:rFonts w:ascii="Arial" w:hAnsi="Arial" w:eastAsia="Heiti SC" w:cs="Arial"/>
          <w:b w:val="0"/>
        </w:rPr>
        <w:t>本节与主网四轮结果分开统计。历史工程验收记录日期为 2026-10-03；补充权益 Mock 记录日期为 2026-10-04。历史报告中的“当时尚未上链”描述已经由后续主网结果补充，不影响其本地验收范围。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90" w:type="dxa"/>
          <w:right w:w="90" w:type="dxa"/>
        </w:tblCellMar>
      </w:tblPr>
      <w:tblGrid>
        <w:gridCol w:w="2088"/>
        <w:gridCol w:w="2088"/>
        <w:gridCol w:w="5904"/>
      </w:tblGrid>
      <w:tr>
        <w:trPr>
          <w:cantSplit/>
          <w:tblHeader/>
        </w:trPr>
        <w:tc>
          <w:tcPr>
            <w:tcW w:type="dxa" w:w="2088"/>
            <w:vAlign w:val="center"/>
            <w:shd w:fill="DDEAF3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/>
                <w:sz w:val="20"/>
              </w:rPr>
              <w:t>验证类别</w:t>
            </w:r>
          </w:p>
        </w:tc>
        <w:tc>
          <w:tcPr>
            <w:tcW w:type="dxa" w:w="2088"/>
            <w:vAlign w:val="center"/>
            <w:shd w:fill="DDEAF3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/>
                <w:sz w:val="20"/>
              </w:rPr>
              <w:t>记录结果</w:t>
            </w:r>
          </w:p>
        </w:tc>
        <w:tc>
          <w:tcPr>
            <w:tcW w:type="dxa" w:w="5904"/>
            <w:vAlign w:val="center"/>
            <w:shd w:fill="DDEAF3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/>
                <w:sz w:val="20"/>
              </w:rPr>
              <w:t>范围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20"/>
              </w:rPr>
              <w:t>本地合约全套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20"/>
              </w:rPr>
              <w:t>历史报告 49 项通过</w:t>
            </w:r>
          </w:p>
        </w:tc>
        <w:tc>
          <w:tcPr>
            <w:tcW w:type="dxa" w:w="5904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20"/>
              </w:rPr>
              <w:t>44 单元、异常及确定性回归；2 fuzz；3 invariant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20"/>
              </w:rPr>
              <w:t>脚本与前端配置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20"/>
              </w:rPr>
              <w:t>历史报告 15 项通过</w:t>
            </w:r>
          </w:p>
        </w:tc>
        <w:tc>
          <w:tcPr>
            <w:tcW w:type="dxa" w:w="5904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20"/>
              </w:rPr>
              <w:t>发送门槛、RPC 与费用约束、错误脱敏、回执替换、UI 配置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20"/>
              </w:rPr>
              <w:t>Anvil 工作流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20"/>
              </w:rPr>
              <w:t>2 个场景通过</w:t>
            </w:r>
          </w:p>
        </w:tc>
        <w:tc>
          <w:tcPr>
            <w:tcW w:type="dxa" w:w="5904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20"/>
              </w:rPr>
              <w:t>本地 chain 31337；转移、结算、合并赎回、故障下紧急取回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20"/>
              </w:rPr>
              <w:t>分步 CLI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20"/>
              </w:rPr>
              <w:t>12 项通过</w:t>
            </w:r>
          </w:p>
        </w:tc>
        <w:tc>
          <w:tcPr>
            <w:tcW w:type="dxa" w:w="5904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20"/>
              </w:rPr>
              <w:t>本地发送、只读预演与 2 个预期拒绝案例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20"/>
              </w:rPr>
              <w:t>转移权益补充 Mock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20"/>
              </w:rPr>
              <w:t>2 项通过</w:t>
            </w:r>
          </w:p>
        </w:tc>
        <w:tc>
          <w:tcPr>
            <w:tcW w:type="dxa" w:w="5904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20"/>
              </w:rPr>
              <w:t>已到账权益随 ID 转移；claimed 不清零；新持有人承接历史权益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20"/>
              </w:rPr>
              <w:t>TypeScript 与 UI 构建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20"/>
              </w:rPr>
              <w:t>历史报告通过</w:t>
            </w:r>
          </w:p>
        </w:tc>
        <w:tc>
          <w:tcPr>
            <w:tcW w:type="dxa" w:w="5904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20"/>
              </w:rPr>
              <w:t>本地生产构建；不等于部署验收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20"/>
              </w:rPr>
              <w:t>UI 浏览器读链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20"/>
              </w:rPr>
              <w:t>历史报告通过</w:t>
            </w:r>
          </w:p>
        </w:tc>
        <w:tc>
          <w:tcPr>
            <w:tcW w:type="dxa" w:w="5904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20"/>
              </w:rPr>
              <w:t>读取本地 Mock 状态与禁用原因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20"/>
              </w:rPr>
              <w:t>主网领取及转移预演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20"/>
              </w:rPr>
              <w:t>保存成功 dry-run 记录</w:t>
            </w:r>
          </w:p>
        </w:tc>
        <w:tc>
          <w:tcPr>
            <w:tcW w:type="dxa" w:w="5904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20"/>
              </w:rPr>
              <w:t>无广播；不计作成功交易</w:t>
            </w:r>
          </w:p>
        </w:tc>
      </w:tr>
    </w:tbl>
    <w:p>
      <w:pPr>
        <w:spacing w:after="40" w:line="96" w:lineRule="auto"/>
      </w:pPr>
    </w:p>
    <w:p>
      <w:r>
        <w:rPr>
          <w:rFonts w:ascii="Arial" w:hAnsi="Arial" w:eastAsia="Heiti SC" w:cs="Arial"/>
          <w:b w:val="0"/>
        </w:rPr>
        <w:t>预演使用各次调用时的 latest 状态；第二轮 A/B 为独立模拟，B 的模拟不代表 A 执行后的状态。预演不等同于固定区块快照或连续交易验证。</w:t>
      </w:r>
    </w:p>
    <w:p>
      <w:r>
        <w:rPr>
          <w:rFonts w:ascii="Arial" w:hAnsi="Arial" w:eastAsia="Heiti SC" w:cs="Arial"/>
          <w:b w:val="0"/>
        </w:rPr>
        <w:t>合约测试覆盖：创建者与固定供应；合法及错误存入；历史和新增收入均分；独立领取与防重复领取；转移与授权检查；直接到账同步；完整份额赎回；owner 正常和紧急恢复；关闭后状态；奇数尾数；回调重入；BEM 支付或 NFT 转移失败时的原子回滚。完整用例名称见工程阶段报告。</w:t>
      </w:r>
    </w:p>
    <w:p>
      <w:r>
        <w:rPr>
          <w:rFonts w:ascii="Arial" w:hAnsi="Arial" w:eastAsia="Heiti SC" w:cs="Arial"/>
          <w:b w:val="0"/>
        </w:rPr>
        <w:t>Anvil 第一场景验证历史 100 与新增 20 的分配、权益转移、两份额合并、最后 1 个最小单位的处理与原子赎回；第二场景验证 Mining/BEM 故障下紧急取回矿机，以及 BEM 恢复后领取已到账权益。Mock 代币使用自身精度，不套用主网 BEM 的 8 位小数。</w:t>
      </w:r>
    </w:p>
    <w:p>
      <w:r>
        <w:rPr>
          <w:rFonts w:ascii="Arial" w:hAnsi="Arial" w:eastAsia="Heiti SC" w:cs="Arial"/>
          <w:b w:val="0"/>
        </w:rPr>
        <w:t>CLI 的两个退出码 1 对应预期拒绝：Mock 模式误用 --broadcast，以及无 TTY 确认的赎回；不是失败测试。该记录中的正常赎回、owner 正常取回和紧急取回包含 dry-run，不能把 12 项都称为真实发送。本地工作流结束恢复快照，没有实链交易。</w:t>
      </w:r>
    </w:p>
    <w:p>
      <w:r>
        <w:rPr>
          <w:rFonts w:ascii="Arial" w:hAnsi="Arial" w:eastAsia="Heiti SC" w:cs="Arial"/>
          <w:b w:val="0"/>
        </w:rPr>
        <w:t>后续定向回归的会话执行记录另有 4 项合约回归、17 项权益报告测试与 2 项汇总报告测试通过。这些是定向运行，可能与已有用例重叠，不与历史 49 / 15 项相加形成新的“总用例数”；其完整逐项日志未列入本报告的落盘证据索引。</w:t>
      </w:r>
    </w:p>
    <w:p>
      <w:pPr>
        <w:pStyle w:val="Heading1"/>
      </w:pPr>
      <w:r>
        <w:rPr>
          <w:rFonts w:ascii="Arial" w:hAnsi="Arial" w:eastAsia="Heiti SC" w:cs="Arial"/>
          <w:b w:val="0"/>
        </w:rPr>
        <w:t>6 核验方法与覆盖边界</w:t>
      </w:r>
    </w:p>
    <w:p>
      <w:r>
        <w:rPr>
          <w:rFonts w:ascii="Arial" w:hAnsi="Arial" w:eastAsia="Heiti SC" w:cs="Arial"/>
          <w:b w:val="0"/>
        </w:rPr>
        <w:t>主网核验核对交易 hash、success 回执、发送者、目标合约、函数与参数，以及区块和交易序号。金额以 Vault 的 RewardClaimed / Harvested / RewardsSynced 与 BEM Transfer 交叉对账；Harvested 与 RewardsSynced 可能描述同一笔收入，不能重复相加。累计支付再与 claimed(1/2)、totalPaid、totalReceived 和 Vault 余额核对。</w:t>
      </w:r>
    </w:p>
    <w:p>
      <w:r>
        <w:rPr>
          <w:rFonts w:ascii="Arial" w:hAnsi="Arial" w:eastAsia="Heiti SC" w:cs="Arial"/>
          <w:b w:val="0"/>
        </w:rPr>
        <w:t>报告保存固定区块快照与 block hash。区块末快照不等于单笔交易执行瞬间；涉及转移边界时，同时检查交易事件、账本连续性与期间其他入账。第四轮还排除了首笔 harvest 以外的新增入账，确保两笔普通领取结算同一批收入。</w:t>
      </w:r>
    </w:p>
    <w:p>
      <w:r>
        <w:rPr>
          <w:rFonts w:ascii="Arial" w:hAnsi="Arial" w:eastAsia="Heiti SC" w:cs="Arial"/>
          <w:b w:val="0"/>
        </w:rPr>
        <w:t>四轮“实际入账减收取前一区块 pending”的差分别为 986、364、1287、547 个最小单位。它们是不同观察边界的差值，协议层具体原因未验证，不能统一归因于时间增长；部分相邻区块甚至具有相同秒级时间戳。分配与结论均采用实际入账，而非 pending 预估。</w:t>
      </w:r>
    </w:p>
    <w:p>
      <w:pPr>
        <w:pStyle w:val="Heading2"/>
      </w:pPr>
      <w:r>
        <w:rPr>
          <w:rFonts w:ascii="Arial" w:hAnsi="Arial" w:eastAsia="Heiti SC" w:cs="Arial"/>
          <w:b w:val="0"/>
        </w:rPr>
        <w:t>尚未完成的主网或交互验证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90" w:type="dxa"/>
          <w:right w:w="90" w:type="dxa"/>
        </w:tblCellMar>
      </w:tblPr>
      <w:tblGrid>
        <w:gridCol w:w="2189"/>
        <w:gridCol w:w="7891"/>
      </w:tblGrid>
      <w:tr>
        <w:trPr>
          <w:cantSplit/>
          <w:tblHeader/>
        </w:trPr>
        <w:tc>
          <w:tcPr>
            <w:tcW w:type="dxa" w:w="2189"/>
            <w:vAlign w:val="center"/>
            <w:shd w:fill="DDEAF3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/>
                <w:sz w:val="20"/>
              </w:rPr>
              <w:t>场景</w:t>
            </w:r>
          </w:p>
        </w:tc>
        <w:tc>
          <w:tcPr>
            <w:tcW w:type="dxa" w:w="7891"/>
            <w:vAlign w:val="center"/>
            <w:shd w:fill="DDEAF3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/>
                <w:sz w:val="20"/>
              </w:rPr>
              <w:t>证据边界</w:t>
            </w:r>
          </w:p>
        </w:tc>
      </w:tr>
      <w:tr>
        <w:trPr>
          <w:cantSplit/>
        </w:trPr>
        <w:tc>
          <w:tcPr>
            <w:tcW w:type="dxa" w:w="2189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20"/>
              </w:rPr>
              <w:t>owner 正常取回矿机</w:t>
            </w:r>
          </w:p>
        </w:tc>
        <w:tc>
          <w:tcPr>
            <w:tcW w:type="dxa" w:w="7891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20"/>
              </w:rPr>
              <w:t>有本地覆盖；本轮主网未执行</w:t>
            </w:r>
          </w:p>
        </w:tc>
      </w:tr>
      <w:tr>
        <w:trPr>
          <w:cantSplit/>
        </w:trPr>
        <w:tc>
          <w:tcPr>
            <w:tcW w:type="dxa" w:w="2189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20"/>
              </w:rPr>
              <w:t>owner 紧急取回矿机</w:t>
            </w:r>
          </w:p>
        </w:tc>
        <w:tc>
          <w:tcPr>
            <w:tcW w:type="dxa" w:w="7891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20"/>
              </w:rPr>
              <w:t>有本地故障场景覆盖；本轮主网未执行</w:t>
            </w:r>
          </w:p>
        </w:tc>
      </w:tr>
      <w:tr>
        <w:trPr>
          <w:cantSplit/>
        </w:trPr>
        <w:tc>
          <w:tcPr>
            <w:tcW w:type="dxa" w:w="2189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20"/>
              </w:rPr>
              <w:t>集齐两份额后赎回矿机</w:t>
            </w:r>
          </w:p>
        </w:tc>
        <w:tc>
          <w:tcPr>
            <w:tcW w:type="dxa" w:w="7891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20"/>
              </w:rPr>
              <w:t>有本地覆盖；本轮主网未执行</w:t>
            </w:r>
          </w:p>
        </w:tc>
      </w:tr>
      <w:tr>
        <w:trPr>
          <w:cantSplit/>
        </w:trPr>
        <w:tc>
          <w:tcPr>
            <w:tcW w:type="dxa" w:w="2189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20"/>
              </w:rPr>
              <w:t>关闭后领取与故障回滚</w:t>
            </w:r>
          </w:p>
        </w:tc>
        <w:tc>
          <w:tcPr>
            <w:tcW w:type="dxa" w:w="7891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20"/>
              </w:rPr>
              <w:t>有本地覆盖；本轮主网未执行</w:t>
            </w:r>
          </w:p>
        </w:tc>
      </w:tr>
      <w:tr>
        <w:trPr>
          <w:cantSplit/>
        </w:trPr>
        <w:tc>
          <w:tcPr>
            <w:tcW w:type="dxa" w:w="2189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20"/>
              </w:rPr>
              <w:t>真实协议固定区块 fork</w:t>
            </w:r>
          </w:p>
        </w:tc>
        <w:tc>
          <w:tcPr>
            <w:tcW w:type="dxa" w:w="7891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20"/>
              </w:rPr>
              <w:t>历史记录未执行；入口缺参退出不计通过</w:t>
            </w:r>
          </w:p>
        </w:tc>
      </w:tr>
      <w:tr>
        <w:trPr>
          <w:cantSplit/>
        </w:trPr>
        <w:tc>
          <w:tcPr>
            <w:tcW w:type="dxa" w:w="2189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20"/>
              </w:rPr>
              <w:t>UI 钱包签名完整流程</w:t>
            </w:r>
          </w:p>
        </w:tc>
        <w:tc>
          <w:tcPr>
            <w:tcW w:type="dxa" w:w="7891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20"/>
              </w:rPr>
              <w:t>未执行；主网 CLI 成功不替代浏览器钱包验收</w:t>
            </w:r>
          </w:p>
        </w:tc>
      </w:tr>
    </w:tbl>
    <w:p>
      <w:pPr>
        <w:spacing w:after="40" w:line="96" w:lineRule="auto"/>
      </w:pPr>
    </w:p>
    <w:p>
      <w:r>
        <w:rPr>
          <w:rFonts w:ascii="Arial" w:hAnsi="Arial" w:eastAsia="Heiti SC" w:cs="Arial"/>
          <w:b w:val="0"/>
        </w:rPr>
        <w:t>本报告的“4/4 通过”仅指四个已执行的主网收益场景。测试对象仍是 TestMinerVault；owner 的矿机取回特权、外部协议变化以及代币普通余额/转账语义均属于本工程的适用条件。本次结果不构成全面安全审计，也不把未执行路径归为主网通过。</w:t>
      </w:r>
    </w:p>
    <w:p>
      <w:pPr>
        <w:pStyle w:val="Heading1"/>
      </w:pPr>
      <w:r>
        <w:rPr>
          <w:rFonts w:ascii="Arial" w:hAnsi="Arial" w:eastAsia="Heiti SC" w:cs="Arial"/>
          <w:b w:val="0"/>
        </w:rPr>
        <w:t>7 可复用的后续测试基准</w:t>
      </w:r>
    </w:p>
    <w:p>
      <w:r>
        <w:rPr>
          <w:rFonts w:ascii="Arial" w:hAnsi="Arial" w:eastAsia="Heiti SC" w:cs="Arial"/>
          <w:b w:val="0"/>
        </w:rPr>
        <w:t xml:space="preserve">后续继续测试应从截止区块 125712665 的账本开始：claimed(1) = claimed(2) = </w:t>
      </w:r>
      <w:r>
        <w:rPr>
          <w:rFonts w:ascii="Arial" w:hAnsi="Arial" w:eastAsia="Heiti SC" w:cs="Arial"/>
          <w:b/>
        </w:rPr>
        <w:t>437579</w:t>
      </w:r>
      <w:r>
        <w:rPr>
          <w:rFonts w:ascii="Arial" w:hAnsi="Arial" w:eastAsia="Heiti SC" w:cs="Arial"/>
          <w:b w:val="0"/>
        </w:rPr>
        <w:t xml:space="preserve">，accPerShare = </w:t>
      </w:r>
      <w:r>
        <w:rPr>
          <w:rFonts w:ascii="Arial" w:hAnsi="Arial" w:eastAsia="Heiti SC" w:cs="Arial"/>
          <w:b/>
        </w:rPr>
        <w:t>437579</w:t>
      </w:r>
      <w:r>
        <w:rPr>
          <w:rFonts w:ascii="Arial" w:hAnsi="Arial" w:eastAsia="Heiti SC" w:cs="Arial"/>
          <w:b w:val="0"/>
        </w:rPr>
        <w:t xml:space="preserve">，totalReceived = totalPaid = </w:t>
      </w:r>
      <w:r>
        <w:rPr>
          <w:rFonts w:ascii="Arial" w:hAnsi="Arial" w:eastAsia="Heiti SC" w:cs="Arial"/>
          <w:b/>
        </w:rPr>
        <w:t>875158</w:t>
      </w:r>
      <w:r>
        <w:rPr>
          <w:rFonts w:ascii="Arial" w:hAnsi="Arial" w:eastAsia="Heiti SC" w:cs="Arial"/>
          <w:b w:val="0"/>
        </w:rPr>
        <w:t xml:space="preserve">，remainder = </w:t>
      </w:r>
      <w:r>
        <w:rPr>
          <w:rFonts w:ascii="Arial" w:hAnsi="Arial" w:eastAsia="Heiti SC" w:cs="Arial"/>
          <w:b/>
        </w:rPr>
        <w:t>0</w:t>
      </w:r>
      <w:r>
        <w:rPr>
          <w:rFonts w:ascii="Arial" w:hAnsi="Arial" w:eastAsia="Heiti SC" w:cs="Arial"/>
          <w:b w:val="0"/>
        </w:rPr>
        <w:t>；以上是 BEM 原始整数。A 持有 #1，B 持有 #2，矿机仍在 Vault。</w:t>
      </w:r>
    </w:p>
    <w:p>
      <w:r>
        <w:rPr>
          <w:rFonts w:ascii="Arial" w:hAnsi="Arial" w:eastAsia="Heiti SC" w:cs="Arial"/>
          <w:b w:val="0"/>
        </w:rPr>
        <w:t>每次继续测试都应重新读取当时链上状态，记录 Mining pending、Vault 余额、两份额的已领和可领金额，并保存新的回执。要比较同批收入，应先确定收取截止，再分别普通领取；如果期间有新的真实入账，必须重新核对截止。既往已领金额始终保留，不能因 NFT 转移重新计算整段历史收入。</w:t>
      </w:r>
    </w:p>
    <w:p>
      <w:pPr>
        <w:pStyle w:val="Heading1"/>
      </w:pPr>
      <w:r>
        <w:rPr>
          <w:rFonts w:ascii="Arial" w:hAnsi="Arial" w:eastAsia="Heiti SC" w:cs="Arial"/>
          <w:b w:val="0"/>
        </w:rPr>
        <w:t>8 全部主网交易索引</w:t>
      </w:r>
    </w:p>
    <w:p>
      <w:r>
        <w:rPr>
          <w:rFonts w:ascii="Arial" w:hAnsi="Arial" w:eastAsia="Heiti SC" w:cs="Arial"/>
          <w:b w:val="0"/>
        </w:rPr>
        <w:t>以下为本次部署、存入与四轮测试的 12 笔成功交易。链接指向 BscScan，完整 hash 保留以便独立核验；预演与权限模拟不计入此表。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90" w:type="dxa"/>
          <w:right w:w="90" w:type="dxa"/>
        </w:tblCellMar>
      </w:tblPr>
      <w:tblGrid>
        <w:gridCol w:w="907"/>
        <w:gridCol w:w="5112"/>
        <w:gridCol w:w="1800"/>
        <w:gridCol w:w="2261"/>
      </w:tblGrid>
      <w:tr>
        <w:trPr>
          <w:cantSplit/>
          <w:tblHeader/>
        </w:trPr>
        <w:tc>
          <w:tcPr>
            <w:tcW w:type="dxa" w:w="907"/>
            <w:vAlign w:val="center"/>
            <w:shd w:fill="DDEAF3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/>
                <w:sz w:val="20"/>
              </w:rPr>
              <w:t>编号</w:t>
            </w:r>
          </w:p>
        </w:tc>
        <w:tc>
          <w:tcPr>
            <w:tcW w:type="dxa" w:w="5112"/>
            <w:vAlign w:val="center"/>
            <w:shd w:fill="DDEAF3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/>
                <w:sz w:val="20"/>
              </w:rPr>
              <w:t>操作</w:t>
            </w:r>
          </w:p>
        </w:tc>
        <w:tc>
          <w:tcPr>
            <w:tcW w:type="dxa" w:w="1800"/>
            <w:vAlign w:val="center"/>
            <w:shd w:fill="DDEAF3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/>
                <w:sz w:val="20"/>
              </w:rPr>
              <w:t>区块</w:t>
            </w:r>
          </w:p>
        </w:tc>
        <w:tc>
          <w:tcPr>
            <w:tcW w:type="dxa" w:w="2261"/>
            <w:vAlign w:val="center"/>
            <w:shd w:fill="DDEAF3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/>
                <w:sz w:val="20"/>
              </w:rPr>
              <w:t>实际支付 BEM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20"/>
              </w:rPr>
              <w:t>T01</w:t>
            </w:r>
          </w:p>
        </w:tc>
        <w:tc>
          <w:tcPr>
            <w:tcW w:type="dxa" w:w="5112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20"/>
              </w:rPr>
              <w:t>部署 Vault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after="0" w:before="0" w:line="269" w:lineRule="auto"/>
              <w:jc w:val="right"/>
            </w:pPr>
            <w:r>
              <w:rPr>
                <w:rFonts w:ascii="Arial" w:hAnsi="Arial" w:eastAsia="Heiti SC" w:cs="Arial"/>
                <w:b w:val="0"/>
                <w:sz w:val="20"/>
              </w:rPr>
              <w:t>125537081</w:t>
            </w:r>
          </w:p>
        </w:tc>
        <w:tc>
          <w:tcPr>
            <w:tcW w:type="dxa" w:w="2261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20"/>
              </w:rPr>
              <w:t>不涉及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20"/>
              </w:rPr>
              <w:t>T02</w:t>
            </w:r>
          </w:p>
        </w:tc>
        <w:tc>
          <w:tcPr>
            <w:tcW w:type="dxa" w:w="5112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20"/>
              </w:rPr>
              <w:t>存入矿机 #3204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after="0" w:before="0" w:line="269" w:lineRule="auto"/>
              <w:jc w:val="right"/>
            </w:pPr>
            <w:r>
              <w:rPr>
                <w:rFonts w:ascii="Arial" w:hAnsi="Arial" w:eastAsia="Heiti SC" w:cs="Arial"/>
                <w:b w:val="0"/>
                <w:sz w:val="20"/>
              </w:rPr>
              <w:t>125539018</w:t>
            </w:r>
          </w:p>
        </w:tc>
        <w:tc>
          <w:tcPr>
            <w:tcW w:type="dxa" w:w="2261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20"/>
              </w:rPr>
              <w:t>不涉及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20"/>
              </w:rPr>
              <w:t>T03</w:t>
            </w:r>
          </w:p>
        </w:tc>
        <w:tc>
          <w:tcPr>
            <w:tcW w:type="dxa" w:w="5112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20"/>
              </w:rPr>
              <w:t>第一轮 A 收取并领取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after="0" w:before="0" w:line="269" w:lineRule="auto"/>
              <w:jc w:val="right"/>
            </w:pPr>
            <w:r>
              <w:rPr>
                <w:rFonts w:ascii="Arial" w:hAnsi="Arial" w:eastAsia="Heiti SC" w:cs="Arial"/>
                <w:b w:val="0"/>
                <w:sz w:val="20"/>
              </w:rPr>
              <w:t>125545984</w:t>
            </w:r>
          </w:p>
        </w:tc>
        <w:tc>
          <w:tcPr>
            <w:tcW w:type="dxa" w:w="2261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20"/>
              </w:rPr>
              <w:t>A 0.00042458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20"/>
              </w:rPr>
              <w:t>T04</w:t>
            </w:r>
          </w:p>
        </w:tc>
        <w:tc>
          <w:tcPr>
            <w:tcW w:type="dxa" w:w="5112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20"/>
              </w:rPr>
              <w:t>第二轮 A 收取并领取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after="0" w:before="0" w:line="269" w:lineRule="auto"/>
              <w:jc w:val="right"/>
            </w:pPr>
            <w:r>
              <w:rPr>
                <w:rFonts w:ascii="Arial" w:hAnsi="Arial" w:eastAsia="Heiti SC" w:cs="Arial"/>
                <w:b w:val="0"/>
                <w:sz w:val="20"/>
              </w:rPr>
              <w:t>125643420</w:t>
            </w:r>
          </w:p>
        </w:tc>
        <w:tc>
          <w:tcPr>
            <w:tcW w:type="dxa" w:w="2261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20"/>
              </w:rPr>
              <w:t>A 0.00235178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20"/>
              </w:rPr>
              <w:t>T05</w:t>
            </w:r>
          </w:p>
        </w:tc>
        <w:tc>
          <w:tcPr>
            <w:tcW w:type="dxa" w:w="5112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20"/>
              </w:rPr>
              <w:t>第二轮 B 普通领取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after="0" w:before="0" w:line="269" w:lineRule="auto"/>
              <w:jc w:val="right"/>
            </w:pPr>
            <w:r>
              <w:rPr>
                <w:rFonts w:ascii="Arial" w:hAnsi="Arial" w:eastAsia="Heiti SC" w:cs="Arial"/>
                <w:b w:val="0"/>
                <w:sz w:val="20"/>
              </w:rPr>
              <w:t>125643527</w:t>
            </w:r>
          </w:p>
        </w:tc>
        <w:tc>
          <w:tcPr>
            <w:tcW w:type="dxa" w:w="2261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20"/>
              </w:rPr>
              <w:t>B 0.00277636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20"/>
              </w:rPr>
              <w:t>T06</w:t>
            </w:r>
          </w:p>
        </w:tc>
        <w:tc>
          <w:tcPr>
            <w:tcW w:type="dxa" w:w="5112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20"/>
              </w:rPr>
              <w:t>第三轮 A 转 #1 给 owner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after="0" w:before="0" w:line="269" w:lineRule="auto"/>
              <w:jc w:val="right"/>
            </w:pPr>
            <w:r>
              <w:rPr>
                <w:rFonts w:ascii="Arial" w:hAnsi="Arial" w:eastAsia="Heiti SC" w:cs="Arial"/>
                <w:b w:val="0"/>
                <w:sz w:val="20"/>
              </w:rPr>
              <w:t>125686386</w:t>
            </w:r>
          </w:p>
        </w:tc>
        <w:tc>
          <w:tcPr>
            <w:tcW w:type="dxa" w:w="2261"/>
            <w:vAlign w:val="center"/>
            <w:shd w:fill="FFFFFF"/>
          </w:tcPr>
          <w:p>
            <w:pPr>
              <w:spacing w:after="0" w:before="0" w:line="269" w:lineRule="auto"/>
              <w:jc w:val="right"/>
            </w:pPr>
            <w:r>
              <w:rPr>
                <w:rFonts w:ascii="Arial" w:hAnsi="Arial" w:eastAsia="Heiti SC" w:cs="Arial"/>
                <w:b w:val="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20"/>
              </w:rPr>
              <w:t>T07</w:t>
            </w:r>
          </w:p>
        </w:tc>
        <w:tc>
          <w:tcPr>
            <w:tcW w:type="dxa" w:w="5112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20"/>
              </w:rPr>
              <w:t>第三轮 owner 收取并领取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after="0" w:before="0" w:line="269" w:lineRule="auto"/>
              <w:jc w:val="right"/>
            </w:pPr>
            <w:r>
              <w:rPr>
                <w:rFonts w:ascii="Arial" w:hAnsi="Arial" w:eastAsia="Heiti SC" w:cs="Arial"/>
                <w:b w:val="0"/>
                <w:sz w:val="20"/>
              </w:rPr>
              <w:t>125686477</w:t>
            </w:r>
          </w:p>
        </w:tc>
        <w:tc>
          <w:tcPr>
            <w:tcW w:type="dxa" w:w="2261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20"/>
              </w:rPr>
              <w:t>owner 0.00103905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20"/>
              </w:rPr>
              <w:t>T08</w:t>
            </w:r>
          </w:p>
        </w:tc>
        <w:tc>
          <w:tcPr>
            <w:tcW w:type="dxa" w:w="5112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20"/>
              </w:rPr>
              <w:t>第三轮 B 普通领取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after="0" w:before="0" w:line="269" w:lineRule="auto"/>
              <w:jc w:val="right"/>
            </w:pPr>
            <w:r>
              <w:rPr>
                <w:rFonts w:ascii="Arial" w:hAnsi="Arial" w:eastAsia="Heiti SC" w:cs="Arial"/>
                <w:b w:val="0"/>
                <w:sz w:val="20"/>
              </w:rPr>
              <w:t>125686606</w:t>
            </w:r>
          </w:p>
        </w:tc>
        <w:tc>
          <w:tcPr>
            <w:tcW w:type="dxa" w:w="2261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20"/>
              </w:rPr>
              <w:t>B 0.00103905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20"/>
              </w:rPr>
              <w:t>T09</w:t>
            </w:r>
          </w:p>
        </w:tc>
        <w:tc>
          <w:tcPr>
            <w:tcW w:type="dxa" w:w="5112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20"/>
              </w:rPr>
              <w:t>第四轮 owner 只收取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after="0" w:before="0" w:line="269" w:lineRule="auto"/>
              <w:jc w:val="right"/>
            </w:pPr>
            <w:r>
              <w:rPr>
                <w:rFonts w:ascii="Arial" w:hAnsi="Arial" w:eastAsia="Heiti SC" w:cs="Arial"/>
                <w:b w:val="0"/>
                <w:sz w:val="20"/>
              </w:rPr>
              <w:t>125709696</w:t>
            </w:r>
          </w:p>
        </w:tc>
        <w:tc>
          <w:tcPr>
            <w:tcW w:type="dxa" w:w="2261"/>
            <w:vAlign w:val="center"/>
            <w:shd w:fill="FFFFFF"/>
          </w:tcPr>
          <w:p>
            <w:pPr>
              <w:spacing w:after="0" w:before="0" w:line="269" w:lineRule="auto"/>
              <w:jc w:val="right"/>
            </w:pPr>
            <w:r>
              <w:rPr>
                <w:rFonts w:ascii="Arial" w:hAnsi="Arial" w:eastAsia="Heiti SC" w:cs="Arial"/>
                <w:b w:val="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20"/>
              </w:rPr>
              <w:t>T10</w:t>
            </w:r>
          </w:p>
        </w:tc>
        <w:tc>
          <w:tcPr>
            <w:tcW w:type="dxa" w:w="5112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20"/>
              </w:rPr>
              <w:t>第四轮 owner 转 #1 给 A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after="0" w:before="0" w:line="269" w:lineRule="auto"/>
              <w:jc w:val="right"/>
            </w:pPr>
            <w:r>
              <w:rPr>
                <w:rFonts w:ascii="Arial" w:hAnsi="Arial" w:eastAsia="Heiti SC" w:cs="Arial"/>
                <w:b w:val="0"/>
                <w:sz w:val="20"/>
              </w:rPr>
              <w:t>125712342</w:t>
            </w:r>
          </w:p>
        </w:tc>
        <w:tc>
          <w:tcPr>
            <w:tcW w:type="dxa" w:w="2261"/>
            <w:vAlign w:val="center"/>
            <w:shd w:fill="FFFFFF"/>
          </w:tcPr>
          <w:p>
            <w:pPr>
              <w:spacing w:after="0" w:before="0" w:line="269" w:lineRule="auto"/>
              <w:jc w:val="right"/>
            </w:pPr>
            <w:r>
              <w:rPr>
                <w:rFonts w:ascii="Arial" w:hAnsi="Arial" w:eastAsia="Heiti SC" w:cs="Arial"/>
                <w:b w:val="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20"/>
              </w:rPr>
              <w:t>T11</w:t>
            </w:r>
          </w:p>
        </w:tc>
        <w:tc>
          <w:tcPr>
            <w:tcW w:type="dxa" w:w="5112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20"/>
              </w:rPr>
              <w:t>第四轮 A 普通领取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after="0" w:before="0" w:line="269" w:lineRule="auto"/>
              <w:jc w:val="right"/>
            </w:pPr>
            <w:r>
              <w:rPr>
                <w:rFonts w:ascii="Arial" w:hAnsi="Arial" w:eastAsia="Heiti SC" w:cs="Arial"/>
                <w:b w:val="0"/>
                <w:sz w:val="20"/>
              </w:rPr>
              <w:t>125712543</w:t>
            </w:r>
          </w:p>
        </w:tc>
        <w:tc>
          <w:tcPr>
            <w:tcW w:type="dxa" w:w="2261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20"/>
              </w:rPr>
              <w:t>A 0.00056038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20"/>
              </w:rPr>
              <w:t>T12</w:t>
            </w:r>
          </w:p>
        </w:tc>
        <w:tc>
          <w:tcPr>
            <w:tcW w:type="dxa" w:w="5112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20"/>
              </w:rPr>
              <w:t>第四轮 B 普通领取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after="0" w:before="0" w:line="269" w:lineRule="auto"/>
              <w:jc w:val="right"/>
            </w:pPr>
            <w:r>
              <w:rPr>
                <w:rFonts w:ascii="Arial" w:hAnsi="Arial" w:eastAsia="Heiti SC" w:cs="Arial"/>
                <w:b w:val="0"/>
                <w:sz w:val="20"/>
              </w:rPr>
              <w:t>125712665</w:t>
            </w:r>
          </w:p>
        </w:tc>
        <w:tc>
          <w:tcPr>
            <w:tcW w:type="dxa" w:w="2261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20"/>
              </w:rPr>
              <w:t>B 0.00056038</w:t>
            </w:r>
          </w:p>
        </w:tc>
      </w:tr>
    </w:tbl>
    <w:p>
      <w:pPr>
        <w:spacing w:after="40" w:line="96" w:lineRule="auto"/>
      </w:pPr>
    </w:p>
    <w:p>
      <w:pPr>
        <w:spacing w:after="60"/>
      </w:pPr>
      <w:r>
        <w:rPr>
          <w:rFonts w:ascii="Arial" w:hAnsi="Arial" w:eastAsia="Heiti SC" w:cs="Arial"/>
          <w:b w:val="0"/>
          <w:sz w:val="17"/>
        </w:rPr>
        <w:t xml:space="preserve">T01 </w:t>
      </w:r>
      <w:hyperlink r:id="rId9">
        <w:r>
          <w:rPr>
            <w:rFonts w:ascii="Consolas" w:hAnsi="Consolas" w:eastAsia="Heiti SC" w:cs="Consolas"/>
            <w:color w:val="174B7A"/>
            <w:sz w:val="17"/>
          </w:rPr>
          <w:t>0xba7d0aa006f85fbf09fc47ba5f1971ebcad0a857c828c4f367e0b75965b99e93</w:t>
        </w:r>
      </w:hyperlink>
    </w:p>
    <w:p>
      <w:pPr>
        <w:spacing w:after="60"/>
      </w:pPr>
      <w:r>
        <w:rPr>
          <w:rFonts w:ascii="Arial" w:hAnsi="Arial" w:eastAsia="Heiti SC" w:cs="Arial"/>
          <w:b w:val="0"/>
          <w:sz w:val="17"/>
        </w:rPr>
        <w:t xml:space="preserve">T02 </w:t>
      </w:r>
      <w:hyperlink r:id="rId10">
        <w:r>
          <w:rPr>
            <w:rFonts w:ascii="Consolas" w:hAnsi="Consolas" w:eastAsia="Heiti SC" w:cs="Consolas"/>
            <w:color w:val="174B7A"/>
            <w:sz w:val="17"/>
          </w:rPr>
          <w:t>0x0d7e687bd86349c905e0ea311b83dd87b109f748b4905ec6bab576b21790998f</w:t>
        </w:r>
      </w:hyperlink>
    </w:p>
    <w:p>
      <w:pPr>
        <w:spacing w:after="60"/>
      </w:pPr>
      <w:r>
        <w:rPr>
          <w:rFonts w:ascii="Arial" w:hAnsi="Arial" w:eastAsia="Heiti SC" w:cs="Arial"/>
          <w:b w:val="0"/>
          <w:sz w:val="17"/>
        </w:rPr>
        <w:t xml:space="preserve">T03 </w:t>
      </w:r>
      <w:hyperlink r:id="rId11">
        <w:r>
          <w:rPr>
            <w:rFonts w:ascii="Consolas" w:hAnsi="Consolas" w:eastAsia="Heiti SC" w:cs="Consolas"/>
            <w:color w:val="174B7A"/>
            <w:sz w:val="17"/>
          </w:rPr>
          <w:t>0x4da3cb2bce785ebcd3932742547f73e30d44a1a528f955c2a5df29b81398d86a</w:t>
        </w:r>
      </w:hyperlink>
    </w:p>
    <w:p>
      <w:pPr>
        <w:spacing w:after="60"/>
      </w:pPr>
      <w:r>
        <w:rPr>
          <w:rFonts w:ascii="Arial" w:hAnsi="Arial" w:eastAsia="Heiti SC" w:cs="Arial"/>
          <w:b w:val="0"/>
          <w:sz w:val="17"/>
        </w:rPr>
        <w:t xml:space="preserve">T04 </w:t>
      </w:r>
      <w:hyperlink r:id="rId12">
        <w:r>
          <w:rPr>
            <w:rFonts w:ascii="Consolas" w:hAnsi="Consolas" w:eastAsia="Heiti SC" w:cs="Consolas"/>
            <w:color w:val="174B7A"/>
            <w:sz w:val="17"/>
          </w:rPr>
          <w:t>0x6d79acb0affb05f9a53ef26a1aea65eff1994d9f16f044f506f167a8ec621690</w:t>
        </w:r>
      </w:hyperlink>
    </w:p>
    <w:p>
      <w:pPr>
        <w:spacing w:after="60"/>
      </w:pPr>
      <w:r>
        <w:rPr>
          <w:rFonts w:ascii="Arial" w:hAnsi="Arial" w:eastAsia="Heiti SC" w:cs="Arial"/>
          <w:b w:val="0"/>
          <w:sz w:val="17"/>
        </w:rPr>
        <w:t xml:space="preserve">T05 </w:t>
      </w:r>
      <w:hyperlink r:id="rId13">
        <w:r>
          <w:rPr>
            <w:rFonts w:ascii="Consolas" w:hAnsi="Consolas" w:eastAsia="Heiti SC" w:cs="Consolas"/>
            <w:color w:val="174B7A"/>
            <w:sz w:val="17"/>
          </w:rPr>
          <w:t>0xfd0e1cd74228dab384058eb91bed450b18e6f5a23427a8d1d772901cd6495a18</w:t>
        </w:r>
      </w:hyperlink>
    </w:p>
    <w:p>
      <w:pPr>
        <w:spacing w:after="60"/>
      </w:pPr>
      <w:r>
        <w:rPr>
          <w:rFonts w:ascii="Arial" w:hAnsi="Arial" w:eastAsia="Heiti SC" w:cs="Arial"/>
          <w:b w:val="0"/>
          <w:sz w:val="17"/>
        </w:rPr>
        <w:t xml:space="preserve">T06 </w:t>
      </w:r>
      <w:hyperlink r:id="rId14">
        <w:r>
          <w:rPr>
            <w:rFonts w:ascii="Consolas" w:hAnsi="Consolas" w:eastAsia="Heiti SC" w:cs="Consolas"/>
            <w:color w:val="174B7A"/>
            <w:sz w:val="17"/>
          </w:rPr>
          <w:t>0xa4c188fc662453dd42b59117e0a8f2511861919cee1ac0faaa2b2ad63cc4ed40</w:t>
        </w:r>
      </w:hyperlink>
    </w:p>
    <w:p>
      <w:pPr>
        <w:spacing w:after="60"/>
      </w:pPr>
      <w:r>
        <w:rPr>
          <w:rFonts w:ascii="Arial" w:hAnsi="Arial" w:eastAsia="Heiti SC" w:cs="Arial"/>
          <w:b w:val="0"/>
          <w:sz w:val="17"/>
        </w:rPr>
        <w:t xml:space="preserve">T07 </w:t>
      </w:r>
      <w:hyperlink r:id="rId15">
        <w:r>
          <w:rPr>
            <w:rFonts w:ascii="Consolas" w:hAnsi="Consolas" w:eastAsia="Heiti SC" w:cs="Consolas"/>
            <w:color w:val="174B7A"/>
            <w:sz w:val="17"/>
          </w:rPr>
          <w:t>0x3d05ebb74f067c99f47536409c7dae1780556b8c9e477bc9ba689197d57ee16f</w:t>
        </w:r>
      </w:hyperlink>
    </w:p>
    <w:p>
      <w:pPr>
        <w:spacing w:after="60"/>
      </w:pPr>
      <w:r>
        <w:rPr>
          <w:rFonts w:ascii="Arial" w:hAnsi="Arial" w:eastAsia="Heiti SC" w:cs="Arial"/>
          <w:b w:val="0"/>
          <w:sz w:val="17"/>
        </w:rPr>
        <w:t xml:space="preserve">T08 </w:t>
      </w:r>
      <w:hyperlink r:id="rId16">
        <w:r>
          <w:rPr>
            <w:rFonts w:ascii="Consolas" w:hAnsi="Consolas" w:eastAsia="Heiti SC" w:cs="Consolas"/>
            <w:color w:val="174B7A"/>
            <w:sz w:val="17"/>
          </w:rPr>
          <w:t>0x9949203096963379fd54df44ddfa58bf047ce4ca64c96646649b222e50e1a441</w:t>
        </w:r>
      </w:hyperlink>
    </w:p>
    <w:p>
      <w:pPr>
        <w:spacing w:after="60"/>
      </w:pPr>
      <w:r>
        <w:rPr>
          <w:rFonts w:ascii="Arial" w:hAnsi="Arial" w:eastAsia="Heiti SC" w:cs="Arial"/>
          <w:b w:val="0"/>
          <w:sz w:val="17"/>
        </w:rPr>
        <w:t xml:space="preserve">T09 </w:t>
      </w:r>
      <w:hyperlink r:id="rId17">
        <w:r>
          <w:rPr>
            <w:rFonts w:ascii="Consolas" w:hAnsi="Consolas" w:eastAsia="Heiti SC" w:cs="Consolas"/>
            <w:color w:val="174B7A"/>
            <w:sz w:val="17"/>
          </w:rPr>
          <w:t>0x670075f6c17e3adf9ad924aee89adfd9a838fad31df83291b024446d0a731cb4</w:t>
        </w:r>
      </w:hyperlink>
    </w:p>
    <w:p>
      <w:pPr>
        <w:spacing w:after="60"/>
      </w:pPr>
      <w:r>
        <w:rPr>
          <w:rFonts w:ascii="Arial" w:hAnsi="Arial" w:eastAsia="Heiti SC" w:cs="Arial"/>
          <w:b w:val="0"/>
          <w:sz w:val="17"/>
        </w:rPr>
        <w:t xml:space="preserve">T10 </w:t>
      </w:r>
      <w:hyperlink r:id="rId18">
        <w:r>
          <w:rPr>
            <w:rFonts w:ascii="Consolas" w:hAnsi="Consolas" w:eastAsia="Heiti SC" w:cs="Consolas"/>
            <w:color w:val="174B7A"/>
            <w:sz w:val="17"/>
          </w:rPr>
          <w:t>0xa0b5c00cd0a26e41c867204cd3a1a5a4fe013b7674fea9cf507513b9db5c6703</w:t>
        </w:r>
      </w:hyperlink>
    </w:p>
    <w:p>
      <w:pPr>
        <w:spacing w:after="60"/>
      </w:pPr>
      <w:r>
        <w:rPr>
          <w:rFonts w:ascii="Arial" w:hAnsi="Arial" w:eastAsia="Heiti SC" w:cs="Arial"/>
          <w:b w:val="0"/>
          <w:sz w:val="17"/>
        </w:rPr>
        <w:t xml:space="preserve">T11 </w:t>
      </w:r>
      <w:hyperlink r:id="rId19">
        <w:r>
          <w:rPr>
            <w:rFonts w:ascii="Consolas" w:hAnsi="Consolas" w:eastAsia="Heiti SC" w:cs="Consolas"/>
            <w:color w:val="174B7A"/>
            <w:sz w:val="17"/>
          </w:rPr>
          <w:t>0x0285a253d79c6e321283b4e5b701b39e0c2470a1243ae72453e4217e2a853b2f</w:t>
        </w:r>
      </w:hyperlink>
    </w:p>
    <w:p>
      <w:pPr>
        <w:spacing w:after="60"/>
      </w:pPr>
      <w:r>
        <w:rPr>
          <w:rFonts w:ascii="Arial" w:hAnsi="Arial" w:eastAsia="Heiti SC" w:cs="Arial"/>
          <w:b w:val="0"/>
          <w:sz w:val="17"/>
        </w:rPr>
        <w:t xml:space="preserve">T12 </w:t>
      </w:r>
      <w:hyperlink r:id="rId20">
        <w:r>
          <w:rPr>
            <w:rFonts w:ascii="Consolas" w:hAnsi="Consolas" w:eastAsia="Heiti SC" w:cs="Consolas"/>
            <w:color w:val="174B7A"/>
            <w:sz w:val="17"/>
          </w:rPr>
          <w:t>0xa67e3c33f46e1e93cf16b2c538b460664b1d08baefe8315fa082071d467394a9</w:t>
        </w:r>
      </w:hyperlink>
    </w:p>
    <w:p>
      <w:pPr>
        <w:pStyle w:val="Heading1"/>
      </w:pPr>
      <w:r>
        <w:rPr>
          <w:rFonts w:ascii="Arial" w:hAnsi="Arial" w:eastAsia="Heiti SC" w:cs="Arial"/>
          <w:b w:val="0"/>
        </w:rPr>
        <w:t>9 证据文件与追溯</w:t>
      </w:r>
    </w:p>
    <w:p>
      <w:r>
        <w:rPr>
          <w:rFonts w:ascii="Arial" w:hAnsi="Arial" w:eastAsia="Heiti SC" w:cs="Arial"/>
          <w:b w:val="0"/>
        </w:rPr>
        <w:t>本报告的金额与结论对应下列已保存资料。各轮 JSON 保留原始整数、区块、hash 和检查结果；Markdown 为便于阅读的逐轮说明。四轮各有 10、27、41、69 项检查通过，这些检查存在重叠，不作为彼此独立的测试用例总数。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90" w:type="dxa"/>
          <w:right w:w="90" w:type="dxa"/>
        </w:tblCellMar>
      </w:tblPr>
      <w:tblGrid>
        <w:gridCol w:w="2304"/>
        <w:gridCol w:w="7776"/>
      </w:tblGrid>
      <w:tr>
        <w:trPr>
          <w:cantSplit/>
          <w:tblHeader/>
        </w:trPr>
        <w:tc>
          <w:tcPr>
            <w:tcW w:type="dxa" w:w="2304"/>
            <w:vAlign w:val="center"/>
            <w:shd w:fill="DDEAF3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/>
                <w:sz w:val="18"/>
              </w:rPr>
              <w:t>资料</w:t>
            </w:r>
          </w:p>
        </w:tc>
        <w:tc>
          <w:tcPr>
            <w:tcW w:type="dxa" w:w="7776"/>
            <w:vAlign w:val="center"/>
            <w:shd w:fill="DDEAF3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/>
                <w:sz w:val="18"/>
              </w:rPr>
              <w:t>项目内文件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18"/>
              </w:rPr>
              <w:t>部署与存入记录</w:t>
            </w:r>
          </w:p>
        </w:tc>
        <w:tc>
          <w:tcPr>
            <w:tcW w:type="dxa" w:w="7776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18"/>
              </w:rPr>
              <w:t>reports/live-deploy-1791054236385.json；reports/live-deposit-1791055111304.json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18"/>
              </w:rPr>
              <w:t>第一轮详细报告</w:t>
            </w:r>
          </w:p>
        </w:tc>
        <w:tc>
          <w:tcPr>
            <w:tcW w:type="dxa" w:w="7776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18"/>
              </w:rPr>
              <w:t>reports/live-claim-a-report.md 与同名 .json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18"/>
              </w:rPr>
              <w:t>第二轮详细报告</w:t>
            </w:r>
          </w:p>
        </w:tc>
        <w:tc>
          <w:tcPr>
            <w:tcW w:type="dxa" w:w="7776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18"/>
              </w:rPr>
              <w:t>reports/live-claim-ab-report.md 与同名 .json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18"/>
              </w:rPr>
              <w:t>第三轮详细报告</w:t>
            </w:r>
          </w:p>
        </w:tc>
        <w:tc>
          <w:tcPr>
            <w:tcW w:type="dxa" w:w="7776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18"/>
              </w:rPr>
              <w:t>reports/live-transfer-claim-report.md 与同名 .json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18"/>
              </w:rPr>
              <w:t>第四轮详细报告</w:t>
            </w:r>
          </w:p>
        </w:tc>
        <w:tc>
          <w:tcPr>
            <w:tcW w:type="dxa" w:w="7776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18"/>
              </w:rPr>
              <w:t>reports/live-accrued-transfer-report.md 与同名 .json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18"/>
              </w:rPr>
              <w:t>转移前后权限模拟</w:t>
            </w:r>
          </w:p>
        </w:tc>
        <w:tc>
          <w:tcPr>
            <w:tcW w:type="dxa" w:w="7776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18"/>
              </w:rPr>
              <w:t>reports/live-transfer-claim-authority.json；reports/live-accrued-transfer-authority.json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18"/>
              </w:rPr>
              <w:t>简明自动汇总</w:t>
            </w:r>
          </w:p>
        </w:tc>
        <w:tc>
          <w:tcPr>
            <w:tcW w:type="dxa" w:w="7776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18"/>
              </w:rPr>
              <w:t>reports/live-reward-tests-summary.md 与同名 .json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18"/>
              </w:rPr>
              <w:t>初始工程验收</w:t>
            </w:r>
          </w:p>
        </w:tc>
        <w:tc>
          <w:tcPr>
            <w:tcW w:type="dxa" w:w="7776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18"/>
              </w:rPr>
              <w:t>docs/TEST_REPORT.md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18"/>
              </w:rPr>
              <w:t>本地工作流与 CLI</w:t>
            </w:r>
          </w:p>
        </w:tc>
        <w:tc>
          <w:tcPr>
            <w:tcW w:type="dxa" w:w="7776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18"/>
              </w:rPr>
              <w:t>reports/local-smoke.json；reports/cli-smoke.json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18"/>
              </w:rPr>
              <w:t>补充权益 Mock</w:t>
            </w:r>
          </w:p>
        </w:tc>
        <w:tc>
          <w:tcPr>
            <w:tcW w:type="dxa" w:w="7776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18"/>
              </w:rPr>
              <w:t>reports/live-transfer-claim-local-validation.json</w:t>
            </w:r>
          </w:p>
        </w:tc>
      </w:tr>
    </w:tbl>
    <w:p>
      <w:pPr>
        <w:spacing w:after="40" w:line="96" w:lineRule="auto"/>
      </w:pPr>
    </w:p>
    <w:p>
      <w:r>
        <w:rPr>
          <w:rFonts w:ascii="Arial" w:hAnsi="Arial" w:eastAsia="Heiti SC" w:cs="Arial"/>
          <w:b w:val="0"/>
        </w:rPr>
        <w:t>最终截止区块 hash：0x6dd23ea483fa2dad0c10ad56f378f3db1291fbf45da779ac8ba1f9d123d9aabb。</w:t>
      </w:r>
    </w:p>
    <w:p>
      <w:r>
        <w:rPr>
          <w:rFonts w:ascii="Arial" w:hAnsi="Arial" w:eastAsia="Heiti SC" w:cs="Arial"/>
          <w:b w:val="0"/>
        </w:rPr>
        <w:t>各轮固定基线区块依次为 125545165、125607064、125646568、125706961。原始基线、按交易归档的报告和各轮成功预演继续保留，不由本总报告覆盖。</w:t>
      </w:r>
    </w:p>
    <w:sectPr w:rsidR="00FC693F" w:rsidRPr="0006063C" w:rsidSect="00034616">
      <w:footerReference w:type="default" r:id="rId21"/>
      <w:pgSz w:w="12240" w:h="15840"/>
      <w:pgMar w:top="1037" w:right="1080" w:bottom="1037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8" w:lineRule="auto" w:after="140"/>
    </w:pPr>
    <w:rPr>
      <w:rFonts w:ascii="Arial" w:hAnsi="Arial" w:eastAsia="Heiti SC" w:cs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="Arial" w:hAnsi="Arial" w:eastAsia="Heiti SC" w:cs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Arial" w:hAnsi="Arial" w:eastAsia="Heiti SC" w:cs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="Arial" w:hAnsi="Arial" w:eastAsia="Heiti SC" w:cs="Arial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 w:eastAsia="Heiti SC" w:cs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bscscan.com/tx/0xba7d0aa006f85fbf09fc47ba5f1971ebcad0a857c828c4f367e0b75965b99e93" TargetMode="External"/><Relationship Id="rId10" Type="http://schemas.openxmlformats.org/officeDocument/2006/relationships/hyperlink" Target="https://bscscan.com/tx/0x0d7e687bd86349c905e0ea311b83dd87b109f748b4905ec6bab576b21790998f" TargetMode="External"/><Relationship Id="rId11" Type="http://schemas.openxmlformats.org/officeDocument/2006/relationships/hyperlink" Target="https://bscscan.com/tx/0x4da3cb2bce785ebcd3932742547f73e30d44a1a528f955c2a5df29b81398d86a" TargetMode="External"/><Relationship Id="rId12" Type="http://schemas.openxmlformats.org/officeDocument/2006/relationships/hyperlink" Target="https://bscscan.com/tx/0x6d79acb0affb05f9a53ef26a1aea65eff1994d9f16f044f506f167a8ec621690" TargetMode="External"/><Relationship Id="rId13" Type="http://schemas.openxmlformats.org/officeDocument/2006/relationships/hyperlink" Target="https://bscscan.com/tx/0xfd0e1cd74228dab384058eb91bed450b18e6f5a23427a8d1d772901cd6495a18" TargetMode="External"/><Relationship Id="rId14" Type="http://schemas.openxmlformats.org/officeDocument/2006/relationships/hyperlink" Target="https://bscscan.com/tx/0xa4c188fc662453dd42b59117e0a8f2511861919cee1ac0faaa2b2ad63cc4ed40" TargetMode="External"/><Relationship Id="rId15" Type="http://schemas.openxmlformats.org/officeDocument/2006/relationships/hyperlink" Target="https://bscscan.com/tx/0x3d05ebb74f067c99f47536409c7dae1780556b8c9e477bc9ba689197d57ee16f" TargetMode="External"/><Relationship Id="rId16" Type="http://schemas.openxmlformats.org/officeDocument/2006/relationships/hyperlink" Target="https://bscscan.com/tx/0x9949203096963379fd54df44ddfa58bf047ce4ca64c96646649b222e50e1a441" TargetMode="External"/><Relationship Id="rId17" Type="http://schemas.openxmlformats.org/officeDocument/2006/relationships/hyperlink" Target="https://bscscan.com/tx/0x670075f6c17e3adf9ad924aee89adfd9a838fad31df83291b024446d0a731cb4" TargetMode="External"/><Relationship Id="rId18" Type="http://schemas.openxmlformats.org/officeDocument/2006/relationships/hyperlink" Target="https://bscscan.com/tx/0xa0b5c00cd0a26e41c867204cd3a1a5a4fe013b7674fea9cf507513b9db5c6703" TargetMode="External"/><Relationship Id="rId19" Type="http://schemas.openxmlformats.org/officeDocument/2006/relationships/hyperlink" Target="https://bscscan.com/tx/0x0285a253d79c6e321283b4e5b701b39e0c2470a1243ae72453e4217e2a853b2f" TargetMode="External"/><Relationship Id="rId20" Type="http://schemas.openxmlformats.org/officeDocument/2006/relationships/hyperlink" Target="https://bscscan.com/tx/0xa67e3c33f46e1e93cf16b2c538b460664b1d08baefe8315fa082071d467394a9" TargetMode="External"/><Relationship Id="rId2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TapeOut 矿机托管与收益分配完整测试报告</dc:title>
  <dc:subject>BSC Vault #3204 四轮主网与本地测试汇总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