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1:</w:t>
      </w:r>
      <w:r>
        <w:t xml:space="preserve"> </w:t>
      </w:r>
      <w:r>
        <w:t xml:space="preserve">Baby</w:t>
      </w:r>
      <w:r>
        <w:t xml:space="preserve"> </w:t>
      </w:r>
      <w:r>
        <w:t xml:space="preserve">Name</w:t>
      </w:r>
      <w:r>
        <w:t xml:space="preserve"> </w:t>
      </w:r>
      <w:r>
        <w:t xml:space="preserve">Trends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report explores US baby naming trends from 1910–2014 to identify patterns in naming persistence and cultural influences behind sudden name surges. Using the provided datasets and supplementary media data, I investigated how names rise and fall in popularity and what drives those changes.</w:t>
      </w:r>
    </w:p>
    <w:bookmarkEnd w:id="20"/>
    <w:bookmarkStart w:id="23" w:name="methodology"/>
    <w:p>
      <w:pPr>
        <w:pStyle w:val="Heading1"/>
      </w:pPr>
      <w:r>
        <w:t xml:space="preserve">Methodology</w:t>
      </w:r>
    </w:p>
    <w:bookmarkStart w:id="21" w:name="i-used-the-following-data"/>
    <w:p>
      <w:pPr>
        <w:pStyle w:val="Heading2"/>
      </w:pPr>
      <w:r>
        <w:t xml:space="preserve">I used the following data: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Baby_Names</w:t>
      </w:r>
      <w:r>
        <w:t xml:space="preserve">: Count of names by state, year, and gender.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Top_100_Billboard</w:t>
      </w:r>
      <w:r>
        <w:t xml:space="preserve">: Weekly Billboard songs since 1958.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HBO_titles, HBO_credits</w:t>
      </w:r>
      <w:r>
        <w:t xml:space="preserve">: TV character data with IMDb scores.</w:t>
      </w:r>
    </w:p>
    <w:bookmarkEnd w:id="21"/>
    <w:bookmarkStart w:id="22" w:name="and-using-this-i-examined"/>
    <w:p>
      <w:pPr>
        <w:pStyle w:val="Heading2"/>
      </w:pPr>
      <w:r>
        <w:t xml:space="preserve">And using this, I examined :</w:t>
      </w:r>
    </w:p>
    <w:p>
      <w:pPr>
        <w:numPr>
          <w:ilvl w:val="0"/>
          <w:numId w:val="1002"/>
        </w:numPr>
      </w:pPr>
      <w:r>
        <w:t xml:space="preserve">Name persistence using Spearman rank correlation over consecutive years.</w:t>
      </w:r>
    </w:p>
    <w:p>
      <w:pPr>
        <w:numPr>
          <w:ilvl w:val="0"/>
          <w:numId w:val="1002"/>
        </w:numPr>
      </w:pPr>
      <w:r>
        <w:t xml:space="preserve">Name spikes via year-on-year changes.</w:t>
      </w:r>
    </w:p>
    <w:p>
      <w:pPr>
        <w:numPr>
          <w:ilvl w:val="0"/>
          <w:numId w:val="1002"/>
        </w:numPr>
      </w:pPr>
      <w:r>
        <w:t xml:space="preserve">Cultural drivers by cross-referencing media influence.</w:t>
      </w:r>
    </w:p>
    <w:bookmarkEnd w:id="22"/>
    <w:bookmarkEnd w:id="23"/>
    <w:bookmarkStart w:id="28" w:name="X8afdea92e9b0c294a0ad2d25a6114870cf3b177"/>
    <w:p>
      <w:pPr>
        <w:pStyle w:val="Heading1"/>
      </w:pPr>
      <w:r>
        <w:t xml:space="preserve">Results: Spearman Correlation of Top 25 Names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"../Figures/spearman_name_correlation.png"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39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Figures/spearman_name_correlatio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summary"/>
    <w:p>
      <w:pPr>
        <w:pStyle w:val="Heading2"/>
      </w:pPr>
      <w:r>
        <w:t xml:space="preserve">Summary:</w:t>
      </w:r>
    </w:p>
    <w:p>
      <w:pPr>
        <w:numPr>
          <w:ilvl w:val="0"/>
          <w:numId w:val="1003"/>
        </w:numPr>
      </w:pPr>
      <w:r>
        <w:t xml:space="preserve">We see that both male and female names show strong short-term persistence (especially 1–2 years).</w:t>
      </w:r>
    </w:p>
    <w:p>
      <w:pPr>
        <w:numPr>
          <w:ilvl w:val="0"/>
          <w:numId w:val="1003"/>
        </w:numPr>
      </w:pPr>
      <w:r>
        <w:t xml:space="preserve">This persistence tends to weaken slightly over longer time gaps (3+ years), with greater fluctuation in female names.</w:t>
      </w:r>
    </w:p>
    <w:p>
      <w:pPr>
        <w:numPr>
          <w:ilvl w:val="0"/>
          <w:numId w:val="1003"/>
        </w:numPr>
      </w:pPr>
      <w:r>
        <w:t xml:space="preserve">A sharp dip in correlation appears around 1950 for female names, indicating a potential shift in naming preferences or a broader societal change.</w:t>
      </w:r>
    </w:p>
    <w:bookmarkEnd w:id="27"/>
    <w:bookmarkEnd w:id="28"/>
    <w:bookmarkStart w:id="33" w:name="results-top-name-surges-over-time"/>
    <w:p>
      <w:pPr>
        <w:pStyle w:val="Heading1"/>
      </w:pPr>
      <w:r>
        <w:t xml:space="preserve">Results : Top Name surges over time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"../Figures/top_name_surges.png"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39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./Figures/top_name_surge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year-on-year name surges highlight the impact of societal events and media exposure on naming decisions. I examined the top 10 names with the greatest year on year growth in count and investigated likely cultural explanations using public knowledge and media trends.</w:t>
      </w:r>
    </w:p>
    <w:bookmarkStart w:id="32" w:name="X7e8f841f9cfa3c1f2dafe8a194921f0b3967b3f"/>
    <w:p>
      <w:pPr>
        <w:pStyle w:val="Heading2"/>
      </w:pPr>
      <w:r>
        <w:t xml:space="preserve">From the above figure we can uncover several interesting naming insights :</w:t>
      </w:r>
    </w:p>
    <w:p>
      <w:pPr>
        <w:pStyle w:val="FirstParagraph"/>
      </w:pPr>
      <w:r>
        <w:rPr>
          <w:b/>
          <w:bCs/>
        </w:rPr>
        <w:t xml:space="preserve">1. Nevaeh (F)</w:t>
      </w:r>
      <w:r>
        <w:br/>
      </w:r>
      <w:r>
        <w:t xml:space="preserve">- Surge Period: Early 2000s</w:t>
      </w:r>
      <w:r>
        <w:br/>
      </w:r>
      <w:r>
        <w:t xml:space="preserve">- Origin:</w:t>
      </w:r>
      <w:r>
        <w:t xml:space="preserve"> </w:t>
      </w:r>
      <w:r>
        <w:t xml:space="preserve">“</w:t>
      </w:r>
      <w:r>
        <w:t xml:space="preserve">Heaven</w:t>
      </w:r>
      <w:r>
        <w:t xml:space="preserve">”</w:t>
      </w:r>
      <w:r>
        <w:t xml:space="preserve"> </w:t>
      </w:r>
      <w:r>
        <w:t xml:space="preserve">spelled backward.</w:t>
      </w:r>
      <w:r>
        <w:br/>
      </w:r>
      <w:r>
        <w:t xml:space="preserve">- Potential cause: This name may have been popularized by Sonny Sandoval (lead singer of group P.O.D.), who named his daughter Nevaeh in 2000 and discussed it on MTV’s</w:t>
      </w:r>
      <w:r>
        <w:t xml:space="preserve"> </w:t>
      </w:r>
      <w:r>
        <w:rPr>
          <w:i/>
          <w:iCs/>
        </w:rPr>
        <w:t xml:space="preserve">Cribs</w:t>
      </w:r>
      <w:r>
        <w:t xml:space="preserve">. Thereafter the name rapidly gained traction as a unique but meaningful name.</w:t>
      </w:r>
      <w:r>
        <w:br/>
      </w:r>
      <w:r>
        <w:t xml:space="preserve">- Insight: This name illustrates how even personal celebrity moments can influence national naming trends.</w:t>
      </w:r>
    </w:p>
    <w:p>
      <w:pPr>
        <w:pStyle w:val="BodyText"/>
      </w:pPr>
      <w:r>
        <w:rPr>
          <w:b/>
          <w:bCs/>
        </w:rPr>
        <w:t xml:space="preserve">2. Jayceon (M)</w:t>
      </w:r>
      <w:r>
        <w:br/>
      </w:r>
      <w:r>
        <w:t xml:space="preserve">- Surge Period: Early to mid-2010s</w:t>
      </w:r>
      <w:r>
        <w:br/>
      </w:r>
      <w:r>
        <w:t xml:space="preserve">- Potential Cause: This is the birth name of famous West Coast rapper</w:t>
      </w:r>
      <w:r>
        <w:t xml:space="preserve"> </w:t>
      </w:r>
      <w:r>
        <w:rPr>
          <w:i/>
          <w:iCs/>
        </w:rPr>
        <w:t xml:space="preserve">The Game</w:t>
      </w:r>
      <w:r>
        <w:t xml:space="preserve"> </w:t>
      </w:r>
      <w:r>
        <w:t xml:space="preserve">(Jayceon Terrell Taylor). He gained popularity in the mid-2000s and remained in the public eye into the 2010s.</w:t>
      </w:r>
      <w:r>
        <w:br/>
      </w:r>
      <w:r>
        <w:t xml:space="preserve">- Insight: This showcases the power and influence of modern music artists as they can drive adoption of less traditional, unique names — especially within pop/hip-hop.</w:t>
      </w:r>
    </w:p>
    <w:p>
      <w:pPr>
        <w:pStyle w:val="BodyText"/>
      </w:pPr>
      <w:r>
        <w:rPr>
          <w:b/>
          <w:bCs/>
        </w:rPr>
        <w:t xml:space="preserve">3. Devante (M)</w:t>
      </w:r>
      <w:r>
        <w:br/>
      </w:r>
      <w:r>
        <w:t xml:space="preserve">- Surge Period: 1990s</w:t>
      </w:r>
      <w:r>
        <w:br/>
      </w:r>
      <w:r>
        <w:t xml:space="preserve">- Cause: This name is likely linked to</w:t>
      </w:r>
      <w:r>
        <w:t xml:space="preserve"> </w:t>
      </w:r>
      <w:r>
        <w:rPr>
          <w:i/>
          <w:iCs/>
        </w:rPr>
        <w:t xml:space="preserve">DeVante Swing</w:t>
      </w:r>
      <w:r>
        <w:t xml:space="preserve">, who was a key member of the influential 90s R&amp;B group</w:t>
      </w:r>
      <w:r>
        <w:t xml:space="preserve"> </w:t>
      </w:r>
      <w:r>
        <w:rPr>
          <w:i/>
          <w:iCs/>
        </w:rPr>
        <w:t xml:space="preserve">Jodeci</w:t>
      </w:r>
      <w:r>
        <w:t xml:space="preserve">.</w:t>
      </w:r>
      <w:r>
        <w:br/>
      </w:r>
      <w:r>
        <w:t xml:space="preserve">- Insight: The rise of R&amp;B culture during the 90s strongly influenced naming among urban communities.</w:t>
      </w:r>
    </w:p>
    <w:p>
      <w:pPr>
        <w:pStyle w:val="BodyText"/>
      </w:pPr>
      <w:r>
        <w:rPr>
          <w:b/>
          <w:bCs/>
        </w:rPr>
        <w:t xml:space="preserve">4. Kiara (F)</w:t>
      </w:r>
      <w:r>
        <w:br/>
      </w:r>
      <w:r>
        <w:t xml:space="preserve">- Surge Period: Late 1990s</w:t>
      </w:r>
      <w:r>
        <w:br/>
      </w:r>
      <w:r>
        <w:t xml:space="preserve">- Cause: This is the name of Simba’s daughter in Disney’s</w:t>
      </w:r>
      <w:r>
        <w:t xml:space="preserve"> </w:t>
      </w:r>
      <w:r>
        <w:rPr>
          <w:i/>
          <w:iCs/>
        </w:rPr>
        <w:t xml:space="preserve">The Lion King II: Simba’s Pride</w:t>
      </w:r>
      <w:r>
        <w:t xml:space="preserve"> </w:t>
      </w:r>
      <w:r>
        <w:t xml:space="preserve">(1998).</w:t>
      </w:r>
      <w:r>
        <w:br/>
      </w:r>
      <w:r>
        <w:t xml:space="preserve">- Insight: Showcases the power of animated films — especially sequels to beloved classics. These films can leave cultural imprints on younger parents thus influencing how they name children.</w:t>
      </w:r>
    </w:p>
    <w:p>
      <w:pPr>
        <w:pStyle w:val="BodyText"/>
      </w:pPr>
      <w:r>
        <w:rPr>
          <w:b/>
          <w:bCs/>
        </w:rPr>
        <w:t xml:space="preserve">5. Desiree (F)</w:t>
      </w:r>
      <w:r>
        <w:br/>
      </w:r>
      <w:r>
        <w:t xml:space="preserve">- Surge Period: 1970s–1980s</w:t>
      </w:r>
      <w:r>
        <w:br/>
      </w:r>
      <w:r>
        <w:t xml:space="preserve">- Cause: This surge was likely media-related, possibly linked to the 1954 movie</w:t>
      </w:r>
      <w:r>
        <w:t xml:space="preserve"> </w:t>
      </w:r>
      <w:r>
        <w:rPr>
          <w:i/>
          <w:iCs/>
        </w:rPr>
        <w:t xml:space="preserve">Desirée</w:t>
      </w:r>
      <w:r>
        <w:t xml:space="preserve"> </w:t>
      </w:r>
      <w:r>
        <w:t xml:space="preserve">(featuring Napoleon’s lover) or resurgence due to TV or music mentions.</w:t>
      </w:r>
      <w:r>
        <w:t xml:space="preserve"> </w:t>
      </w:r>
      <w:r>
        <w:t xml:space="preserve">- Insight: Shows us that romantic-sounding names tied to fictional or historical characters can resurge decades later.</w:t>
      </w:r>
    </w:p>
    <w:p>
      <w:pPr>
        <w:pStyle w:val="BodyText"/>
      </w:pPr>
      <w:r>
        <w:t xml:space="preserve">We then examined whether these names had links to Billboard chart-topping songs or popular HBO media titles at the time of their spikes.</w:t>
      </w:r>
    </w:p>
    <w:p>
      <w:pPr>
        <w:pStyle w:val="SourceCode"/>
      </w:pPr>
      <w:r>
        <w:rPr>
          <w:rStyle w:val="NormalTok"/>
        </w:rPr>
        <w:t xml:space="preserve">top_surges_summary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"../Figures/top_surges_summary.csv"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(top_surges_summary,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of Top Name Surges and Media Links"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of Top Name Surges and Media Links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mmary of Top Name Surges and Media Link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YoY_change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Billboard_Link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HBO_Link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Marquita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2527.083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2126.829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Nevaeh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2124.528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Tammy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2038.725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1703.488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1417.544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Jayceon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1327.344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Tennille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1288.679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Dawson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1235.461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1214.545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BodyText"/>
      </w:pPr>
      <w:r>
        <w:t xml:space="preserve">From the above table we can see that :</w:t>
      </w:r>
    </w:p>
    <w:p>
      <w:pPr>
        <w:numPr>
          <w:ilvl w:val="0"/>
          <w:numId w:val="1004"/>
        </w:numPr>
      </w:pPr>
      <w:r>
        <w:t xml:space="preserve">All ten names that experienced the largest year-on-year surges in popularity had clear associations with mainstream media, either through Billboard chart hits or HBO shows/movies.</w:t>
      </w:r>
    </w:p>
    <w:p>
      <w:pPr>
        <w:numPr>
          <w:ilvl w:val="0"/>
          <w:numId w:val="1004"/>
        </w:numPr>
      </w:pPr>
      <w:r>
        <w:t xml:space="preserve">HBO Link Examples:</w:t>
      </w:r>
    </w:p>
    <w:p>
      <w:pPr>
        <w:pStyle w:val="FirstParagraph"/>
      </w:pPr>
      <w:r>
        <w:t xml:space="preserve">The name Tammy appears in multiple HBO series during the 1980s and 1990s, likely aligning with visibility in adult television content. The spikes</w:t>
      </w:r>
    </w:p>
    <w:p>
      <w:pPr>
        <w:pStyle w:val="BodyText"/>
      </w:pPr>
      <w:r>
        <w:t xml:space="preserve">The name Woodrow features in historical or political dramas. This is consistent with naming patterns influenced by serious roles or periods.</w:t>
      </w:r>
    </w:p>
    <w:p>
      <w:pPr>
        <w:pStyle w:val="Compact"/>
        <w:numPr>
          <w:ilvl w:val="0"/>
          <w:numId w:val="1005"/>
        </w:numPr>
      </w:pPr>
      <w:r>
        <w:t xml:space="preserve">Billboard Mentions:</w:t>
      </w:r>
    </w:p>
    <w:p>
      <w:pPr>
        <w:pStyle w:val="FirstParagraph"/>
      </w:pPr>
      <w:r>
        <w:t xml:space="preserve">Desiree and Devante were tied to 90s R&amp;B culture — particularly through artists like Jodeci and Des’ree who were active during their spikes.</w:t>
      </w:r>
    </w:p>
    <w:p>
      <w:pPr>
        <w:pStyle w:val="BodyText"/>
      </w:pPr>
      <w:r>
        <w:t xml:space="preserve">Jayceon, as mentioned, aligns with the rapper The Game, whose peak years coincide with the surge.</w:t>
      </w:r>
    </w:p>
    <w:p>
      <w:pPr>
        <w:pStyle w:val="BodyText"/>
      </w:pPr>
      <w:r>
        <w:t xml:space="preserve">Marquita may reflect naming influence from lesser-known hits or regional artist recognition not immediately visible in national charts.</w:t>
      </w:r>
    </w:p>
    <w:p>
      <w:pPr>
        <w:pStyle w:val="BodyText"/>
      </w:pPr>
      <w:r>
        <w:t xml:space="preserve">Patterns &amp; Hypothesis :</w:t>
      </w:r>
    </w:p>
    <w:p>
      <w:pPr>
        <w:pStyle w:val="BodyText"/>
      </w:pPr>
      <w:r>
        <w:t xml:space="preserve">The synchrony of name surges and cultural media activity supports the agency’s hypothesis that children’s names are indeed influenced by pop culture visibility.</w:t>
      </w:r>
    </w:p>
    <w:p>
      <w:pPr>
        <w:pStyle w:val="BodyText"/>
      </w:pPr>
      <w:r>
        <w:t xml:space="preserve">Names influenced by music and TV show characters appear to enjoy temporary spikes but may lack long-term persistence unless reinforced (e.g., Tammy had multiple resurgence periods).</w:t>
      </w:r>
    </w:p>
    <w:p>
      <w:pPr>
        <w:pStyle w:val="BodyText"/>
      </w:pPr>
      <w:r>
        <w:t xml:space="preserve">Business Takeaway/Insights:</w:t>
      </w:r>
    </w:p>
    <w:p>
      <w:pPr>
        <w:pStyle w:val="BodyText"/>
      </w:pPr>
      <w:r>
        <w:t xml:space="preserve">For the toy design agency, understanding which media formats (TV, music) drive naming trends can aid in selecting names that will resonate with the market.</w:t>
      </w:r>
      <w:r>
        <w:t xml:space="preserve"> </w:t>
      </w:r>
      <w:r>
        <w:t xml:space="preserve">These findings could guide branding strategies, packaging, and even character development decisions tied to name trends.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1: Baby Name Trends</dc:title>
  <dc:creator/>
  <cp:keywords/>
  <dcterms:created xsi:type="dcterms:W3CDTF">2025-06-17T11:47:30Z</dcterms:created>
  <dcterms:modified xsi:type="dcterms:W3CDTF">2025-06-17T11:47:30Z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