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FALCON FREIGHT SOLUTIONS</w:t>
      </w:r>
    </w:p>
    <w:p>
      <w:pPr>
        <w:spacing w:after="200"/>
      </w:pPr>
      <w:r>
        <w:rPr>
          <w:i/>
          <w:iCs/>
          <w:color w:val="B7862C"/>
          <w:sz w:val="20"/>
          <w:szCs w:val="20"/>
        </w:rPr>
        <w:t xml:space="preserve">Governance, Risk &amp; Compliance Programme</w:t>
      </w:r>
    </w:p>
    <w:p>
      <w:pPr>
        <w:spacing w:after="100"/>
      </w:pPr>
      <w:r>
        <w:rPr>
          <w:b/>
          <w:bCs/>
          <w:color w:val="1F3864"/>
          <w:sz w:val="40"/>
          <w:szCs w:val="40"/>
        </w:rPr>
        <w:t xml:space="preserve">ISO/IEC 27001:2022 ISMS Gap Analysis</w:t>
      </w:r>
    </w:p>
    <w:p>
      <w:pPr>
        <w:spacing w:after="320"/>
      </w:pPr>
      <w:r>
        <w:rPr>
          <w:color w:val="444444"/>
          <w:sz w:val="24"/>
          <w:szCs w:val="24"/>
        </w:rPr>
        <w:t xml:space="preserve">Findings, Non-Conformances &amp; Recommendations for Improvement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Document Title</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ISO/IEC 27001:2022 ISMS Gap Analysis – Findings &amp; Recommendations Report</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Organization</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Falcon Freight Solutions</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Prepared By</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GRC Analyst Consultant, Group Risk &amp; Compliance</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Document Owner</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Director of IT &amp; Security (CISO-equivalent)</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Classification</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Confidential – Internal Use Only</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Version</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Assessment Date</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1 August 2026</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Assessment Instrument</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ISO27k ISMS Gap Analysis Questionnaire v1 (2024) – completed workbook</w:t>
            </w:r>
          </w:p>
        </w:tc>
      </w:tr>
      <w:tr>
        <w:tc>
          <w:tcPr>
            <w:tcW w:type="dxa" w:w="2400"/>
            <w:shd w:fill="F2F2F2" w:val="clear"/>
            <w:tcMar>
              <w:top w:type="dxa" w:w="80"/>
              <w:left w:type="dxa" w:w="100"/>
              <w:bottom w:type="dxa" w:w="80"/>
              <w:right w:type="dxa" w:w="100"/>
            </w:tcMar>
            <w:vAlign w:val="center"/>
          </w:tcPr>
          <w:p>
            <w:pPr>
              <w:jc w:val="left"/>
            </w:pPr>
            <w:r>
              <w:rPr>
                <w:b/>
                <w:bCs/>
                <w:color w:val="000000"/>
                <w:sz w:val="19"/>
                <w:szCs w:val="19"/>
              </w:rPr>
              <w:t xml:space="preserve">Related Documents</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Completed ISO27k ISMS Gap Analysis Questionnaire (Falcon Freight Solutions); Third-Party Vendor Risk Assessment Report – Microsoft Azure; Enterprise Risk Register</w:t>
            </w:r>
          </w:p>
        </w:tc>
      </w:tr>
    </w:tbl>
    <w:p>
      <w:r>
        <w:br w:type="page"/>
      </w:r>
    </w:p>
    <w:p>
      <w:pPr>
        <w:pStyle w:val="Heading1"/>
        <w:pBdr>
          <w:bottom w:val="single" w:color="1F3864" w:sz="6" w:space="4"/>
        </w:pBdr>
        <w:spacing w:after="160" w:before="320"/>
      </w:pPr>
      <w:r>
        <w:rPr>
          <w:b/>
          <w:bCs/>
          <w:color w:val="1F3864"/>
          <w:sz w:val="28"/>
          <w:szCs w:val="28"/>
        </w:rPr>
        <w:t xml:space="preserve">1. Purpose and Scope</w:t>
      </w:r>
    </w:p>
    <w:p>
      <w:pPr>
        <w:spacing w:after="160" w:line="276"/>
      </w:pPr>
      <w:r>
        <w:rPr>
          <w:sz w:val="21"/>
          <w:szCs w:val="21"/>
        </w:rPr>
        <w:t xml:space="preserve">This report documents the findings of the ISO/IEC 27001:2022 Information Security Management System (ISMS) gap analysis conducted for Falcon Freight Solutions, using the ISO27k ISMS Gap Analysis Questionnaire v1 (2024). The assessment covers all 10 mandatory management-system Clauses (4–10) and all 93 Annex A controls across the four control domains (Organizational, People, Physical, Technological) — 161 questions in total.</w:t>
      </w:r>
    </w:p>
    <w:p>
      <w:pPr>
        <w:spacing w:after="160" w:line="276"/>
      </w:pPr>
      <w:r>
        <w:rPr>
          <w:sz w:val="21"/>
          <w:szCs w:val="21"/>
        </w:rPr>
        <w:t xml:space="preserve">The objective is to establish Falcon Freight Solutions' current conformance against ISO/IEC 27001:2022, identify areas of non-conformance, and provide a prioritized set of recommendations to close the gaps and build a certifiable ISMS.</w:t>
      </w:r>
    </w:p>
    <w:p>
      <w:pPr>
        <w:pStyle w:val="Heading1"/>
        <w:pBdr>
          <w:bottom w:val="single" w:color="1F3864" w:sz="6" w:space="4"/>
        </w:pBdr>
        <w:spacing w:after="160" w:before="320"/>
      </w:pPr>
      <w:r>
        <w:rPr>
          <w:b/>
          <w:bCs/>
          <w:color w:val="1F3864"/>
          <w:sz w:val="28"/>
          <w:szCs w:val="28"/>
        </w:rPr>
        <w:t xml:space="preserve">2. Methodology</w:t>
      </w:r>
    </w:p>
    <w:p>
      <w:pPr>
        <w:spacing w:after="160" w:line="276"/>
      </w:pPr>
      <w:r>
        <w:rPr>
          <w:sz w:val="21"/>
          <w:szCs w:val="21"/>
        </w:rPr>
        <w:t xml:space="preserve">Each question was answered Yes, No, Not Applicable, or Refer to Comments, with supporting comments recorded against every response in the completed questionnaire workbook. For the purpose of this report:</w:t>
      </w:r>
    </w:p>
    <w:p>
      <w:pPr>
        <w:pStyle w:val="ListParagraph"/>
        <w:numPr>
          <w:ilvl w:val="0"/>
          <w:numId w:val="1"/>
        </w:numPr>
        <w:spacing w:after="80" w:line="264"/>
      </w:pPr>
      <w:r>
        <w:rPr>
          <w:sz w:val="21"/>
          <w:szCs w:val="21"/>
        </w:rPr>
        <w:t xml:space="preserve">Yes — the requirement or control is conformant/implemented.</w:t>
      </w:r>
    </w:p>
    <w:p>
      <w:pPr>
        <w:pStyle w:val="ListParagraph"/>
        <w:numPr>
          <w:ilvl w:val="0"/>
          <w:numId w:val="1"/>
        </w:numPr>
        <w:spacing w:after="80" w:line="264"/>
      </w:pPr>
      <w:r>
        <w:rPr>
          <w:sz w:val="21"/>
          <w:szCs w:val="21"/>
        </w:rPr>
        <w:t xml:space="preserve">No — a non-conformance: the requirement or control is not implemented.</w:t>
      </w:r>
    </w:p>
    <w:p>
      <w:pPr>
        <w:pStyle w:val="ListParagraph"/>
        <w:numPr>
          <w:ilvl w:val="0"/>
          <w:numId w:val="1"/>
        </w:numPr>
        <w:spacing w:after="80" w:line="264"/>
      </w:pPr>
      <w:r>
        <w:rPr>
          <w:sz w:val="21"/>
          <w:szCs w:val="21"/>
        </w:rPr>
        <w:t xml:space="preserve">Refer to comments — a partial or informal practice exists but does not yet meet the formal requirement; treated as a gap requiring remediation.</w:t>
      </w:r>
    </w:p>
    <w:p>
      <w:pPr>
        <w:pStyle w:val="ListParagraph"/>
        <w:numPr>
          <w:ilvl w:val="0"/>
          <w:numId w:val="1"/>
        </w:numPr>
        <w:spacing w:after="80" w:line="264"/>
      </w:pPr>
      <w:r>
        <w:rPr>
          <w:sz w:val="21"/>
          <w:szCs w:val="21"/>
        </w:rPr>
        <w:t xml:space="preserve">Not Applicable — excluded, typically because Falcon Freight Solutions does not perform in-house software development.</w:t>
      </w:r>
    </w:p>
    <w:p>
      <w:pPr>
        <w:pStyle w:val="Heading1"/>
        <w:pBdr>
          <w:bottom w:val="single" w:color="1F3864" w:sz="6" w:space="4"/>
        </w:pBdr>
        <w:spacing w:after="160" w:before="320"/>
      </w:pPr>
      <w:r>
        <w:rPr>
          <w:b/>
          <w:bCs/>
          <w:color w:val="1F3864"/>
          <w:sz w:val="28"/>
          <w:szCs w:val="28"/>
        </w:rPr>
        <w:t xml:space="preserve">3. Executive Summary of Findings</w:t>
      </w:r>
    </w:p>
    <w:p>
      <w:pPr>
        <w:spacing w:after="160" w:line="276"/>
      </w:pPr>
      <w:r>
        <w:rPr>
          <w:sz w:val="21"/>
          <w:szCs w:val="21"/>
        </w:rPr>
        <w:t xml:space="preserve">Falcon Freight Solutions does not currently operate a formal Information Security Management System. Of the 161 questions assessed, only 16 (10%) were answered Yes, 100 (62%) were answered No (a direct non-conformance), 36 (22%) reflect informal or partial practices requiring formalization, and 9 (6%) were Not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250"/>
        <w:gridCol w:w="1250"/>
        <w:gridCol w:w="1250"/>
        <w:gridCol w:w="1250"/>
        <w:gridCol w:w="95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8"/>
                <w:szCs w:val="18"/>
              </w:rPr>
              <w:t xml:space="preserve">Section</w:t>
            </w:r>
          </w:p>
        </w:tc>
        <w:tc>
          <w:tcPr>
            <w:tcW w:type="dxa" w:w="1250"/>
            <w:shd w:fill="1F3864" w:val="clear"/>
            <w:tcMar>
              <w:top w:type="dxa" w:w="80"/>
              <w:left w:type="dxa" w:w="100"/>
              <w:bottom w:type="dxa" w:w="80"/>
              <w:right w:type="dxa" w:w="100"/>
            </w:tcMar>
            <w:vAlign w:val="center"/>
          </w:tcPr>
          <w:p>
            <w:pPr>
              <w:jc w:val="left"/>
            </w:pPr>
            <w:r>
              <w:rPr>
                <w:b/>
                <w:bCs/>
                <w:color w:val="FFFFFF"/>
                <w:sz w:val="18"/>
                <w:szCs w:val="18"/>
              </w:rPr>
              <w:t xml:space="preserve">Yes</w:t>
            </w:r>
          </w:p>
        </w:tc>
        <w:tc>
          <w:tcPr>
            <w:tcW w:type="dxa" w:w="1250"/>
            <w:shd w:fill="1F3864" w:val="clear"/>
            <w:tcMar>
              <w:top w:type="dxa" w:w="80"/>
              <w:left w:type="dxa" w:w="100"/>
              <w:bottom w:type="dxa" w:w="80"/>
              <w:right w:type="dxa" w:w="100"/>
            </w:tcMar>
            <w:vAlign w:val="center"/>
          </w:tcPr>
          <w:p>
            <w:pPr>
              <w:jc w:val="left"/>
            </w:pPr>
            <w:r>
              <w:rPr>
                <w:b/>
                <w:bCs/>
                <w:color w:val="FFFFFF"/>
                <w:sz w:val="18"/>
                <w:szCs w:val="18"/>
              </w:rPr>
              <w:t xml:space="preserve">No</w:t>
            </w:r>
          </w:p>
        </w:tc>
        <w:tc>
          <w:tcPr>
            <w:tcW w:type="dxa" w:w="1250"/>
            <w:shd w:fill="1F3864" w:val="clear"/>
            <w:tcMar>
              <w:top w:type="dxa" w:w="80"/>
              <w:left w:type="dxa" w:w="100"/>
              <w:bottom w:type="dxa" w:w="80"/>
              <w:right w:type="dxa" w:w="100"/>
            </w:tcMar>
            <w:vAlign w:val="center"/>
          </w:tcPr>
          <w:p>
            <w:pPr>
              <w:jc w:val="left"/>
            </w:pPr>
            <w:r>
              <w:rPr>
                <w:b/>
                <w:bCs/>
                <w:color w:val="FFFFFF"/>
                <w:sz w:val="18"/>
                <w:szCs w:val="18"/>
              </w:rPr>
              <w:t xml:space="preserve">N/A</w:t>
            </w:r>
          </w:p>
        </w:tc>
        <w:tc>
          <w:tcPr>
            <w:tcW w:type="dxa" w:w="1250"/>
            <w:shd w:fill="1F3864" w:val="clear"/>
            <w:tcMar>
              <w:top w:type="dxa" w:w="80"/>
              <w:left w:type="dxa" w:w="100"/>
              <w:bottom w:type="dxa" w:w="80"/>
              <w:right w:type="dxa" w:w="100"/>
            </w:tcMar>
            <w:vAlign w:val="center"/>
          </w:tcPr>
          <w:p>
            <w:pPr>
              <w:jc w:val="left"/>
            </w:pPr>
            <w:r>
              <w:rPr>
                <w:b/>
                <w:bCs/>
                <w:color w:val="FFFFFF"/>
                <w:sz w:val="18"/>
                <w:szCs w:val="18"/>
              </w:rPr>
              <w:t xml:space="preserve">Refer to Comments</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ISO/IEC 27001:2022 Clauses (28 questions)</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22</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6</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Domain 5 – Organizational Controls (66)</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51</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Domain 6 – People Controls (15)</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Domain 7 – Physical Controls (14)</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12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Domain 8 – Technological Controls (38)</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18</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2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9</w:t>
            </w:r>
          </w:p>
        </w:tc>
      </w:tr>
      <w:t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TOTAL (161 questions)</w:t>
            </w:r>
          </w:p>
        </w:tc>
        <w:tc>
          <w:tcPr>
            <w:tcW w:type="dxa" w:w="1250"/>
            <w:shd w:fill="1F3864" w:val="clear"/>
            <w:tcMar>
              <w:top w:type="dxa" w:w="80"/>
              <w:left w:type="dxa" w:w="100"/>
              <w:bottom w:type="dxa" w:w="80"/>
              <w:right w:type="dxa" w:w="100"/>
            </w:tcMar>
            <w:vAlign w:val="center"/>
          </w:tcPr>
          <w:p>
            <w:pPr>
              <w:jc w:val="center"/>
            </w:pPr>
            <w:r>
              <w:rPr>
                <w:b/>
                <w:bCs/>
                <w:color w:val="FFFFFF"/>
                <w:sz w:val="19"/>
                <w:szCs w:val="19"/>
              </w:rPr>
              <w:t xml:space="preserve">16</w:t>
            </w:r>
          </w:p>
        </w:tc>
        <w:tc>
          <w:tcPr>
            <w:tcW w:type="dxa" w:w="1250"/>
            <w:shd w:fill="1F3864" w:val="clear"/>
            <w:tcMar>
              <w:top w:type="dxa" w:w="80"/>
              <w:left w:type="dxa" w:w="100"/>
              <w:bottom w:type="dxa" w:w="80"/>
              <w:right w:type="dxa" w:w="100"/>
            </w:tcMar>
            <w:vAlign w:val="center"/>
          </w:tcPr>
          <w:p>
            <w:pPr>
              <w:jc w:val="center"/>
            </w:pPr>
            <w:r>
              <w:rPr>
                <w:b/>
                <w:bCs/>
                <w:color w:val="FFFFFF"/>
                <w:sz w:val="19"/>
                <w:szCs w:val="19"/>
              </w:rPr>
              <w:t xml:space="preserve">100</w:t>
            </w:r>
          </w:p>
        </w:tc>
        <w:tc>
          <w:tcPr>
            <w:tcW w:type="dxa" w:w="1250"/>
            <w:shd w:fill="1F3864" w:val="clear"/>
            <w:tcMar>
              <w:top w:type="dxa" w:w="80"/>
              <w:left w:type="dxa" w:w="100"/>
              <w:bottom w:type="dxa" w:w="80"/>
              <w:right w:type="dxa" w:w="100"/>
            </w:tcMar>
            <w:vAlign w:val="center"/>
          </w:tcPr>
          <w:p>
            <w:pPr>
              <w:jc w:val="center"/>
            </w:pPr>
            <w:r>
              <w:rPr>
                <w:b/>
                <w:bCs/>
                <w:color w:val="FFFFFF"/>
                <w:sz w:val="19"/>
                <w:szCs w:val="19"/>
              </w:rPr>
              <w:t xml:space="preserve">9</w:t>
            </w:r>
          </w:p>
        </w:tc>
        <w:tc>
          <w:tcPr>
            <w:tcW w:type="dxa" w:w="1250"/>
            <w:shd w:fill="1F3864" w:val="clear"/>
            <w:tcMar>
              <w:top w:type="dxa" w:w="80"/>
              <w:left w:type="dxa" w:w="100"/>
              <w:bottom w:type="dxa" w:w="80"/>
              <w:right w:type="dxa" w:w="100"/>
            </w:tcMar>
            <w:vAlign w:val="center"/>
          </w:tcPr>
          <w:p>
            <w:pPr>
              <w:jc w:val="center"/>
            </w:pPr>
            <w:r>
              <w:rPr>
                <w:b/>
                <w:bCs/>
                <w:color w:val="FFFFFF"/>
                <w:sz w:val="19"/>
                <w:szCs w:val="19"/>
              </w:rPr>
              <w:t xml:space="preserve">36</w:t>
            </w:r>
          </w:p>
        </w:tc>
      </w:tr>
    </w:tbl>
    <w:p>
      <w:pPr>
        <w:spacing w:after="160" w:line="276"/>
      </w:pPr>
      <w:r>
        <w:rPr>
          <w:sz w:val="21"/>
          <w:szCs w:val="21"/>
        </w:rPr>
        <w:t xml:space="preserve">This result is consistent with the business problem identified in the case study: Falcon Freight Solutions has scaled its regional operations and vendor relationships faster than its governance and compliance processes, leaving it unable to demonstrate ISO 27001 conformance. None of the 10 mandatory management-system Clauses are currently satisfied, which on its own would prevent certification; the gaps are concentrated most heavily in supplier/vendor risk management, incident management, privacy/PII protection, and technical monitoring — the same risk areas flagged in the original case study.</w:t>
      </w:r>
    </w:p>
    <w:p>
      <w:pPr>
        <w:pStyle w:val="Heading1"/>
        <w:pBdr>
          <w:bottom w:val="single" w:color="1F3864" w:sz="6" w:space="4"/>
        </w:pBdr>
        <w:spacing w:after="160" w:before="320"/>
      </w:pPr>
      <w:r>
        <w:rPr>
          <w:b/>
          <w:bCs/>
          <w:color w:val="1F3864"/>
          <w:sz w:val="28"/>
          <w:szCs w:val="28"/>
        </w:rPr>
        <w:t xml:space="preserve">4. Critical Non-Conformances – Clauses 4–10 (Mandatory Requirements)</w:t>
      </w:r>
    </w:p>
    <w:p>
      <w:pPr>
        <w:spacing w:after="160" w:line="276"/>
      </w:pPr>
      <w:r>
        <w:rPr>
          <w:sz w:val="21"/>
          <w:szCs w:val="21"/>
        </w:rPr>
        <w:t xml:space="preserve">All 10 mandatory ISMS Clauses show non-conformance or only partial/informal practice. These must be addressed first, as ISO/IEC 27001 certification cannot be achieved while any Clause requirement remains unmet.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750"/>
        <w:gridCol w:w="15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8"/>
                <w:szCs w:val="18"/>
              </w:rPr>
              <w:t xml:space="preserve">Clause</w:t>
            </w:r>
          </w:p>
        </w:tc>
        <w:tc>
          <w:tcPr>
            <w:tcW w:type="dxa" w:w="6750"/>
            <w:shd w:fill="1F3864" w:val="clear"/>
            <w:tcMar>
              <w:top w:type="dxa" w:w="80"/>
              <w:left w:type="dxa" w:w="100"/>
              <w:bottom w:type="dxa" w:w="80"/>
              <w:right w:type="dxa" w:w="100"/>
            </w:tcMar>
            <w:vAlign w:val="center"/>
          </w:tcPr>
          <w:p>
            <w:pPr>
              <w:jc w:val="left"/>
            </w:pPr>
            <w:r>
              <w:rPr>
                <w:b/>
                <w:bCs/>
                <w:color w:val="FFFFFF"/>
                <w:sz w:val="18"/>
                <w:szCs w:val="18"/>
              </w:rPr>
              <w:t xml:space="preserve">Finding</w:t>
            </w:r>
          </w:p>
        </w:tc>
        <w:tc>
          <w:tcPr>
            <w:tcW w:type="dxa" w:w="1500"/>
            <w:shd w:fill="1F3864" w:val="clear"/>
            <w:tcMar>
              <w:top w:type="dxa" w:w="80"/>
              <w:left w:type="dxa" w:w="100"/>
              <w:bottom w:type="dxa" w:w="80"/>
              <w:right w:type="dxa" w:w="100"/>
            </w:tcMar>
            <w:vAlign w:val="center"/>
          </w:tcPr>
          <w:p>
            <w:pPr>
              <w:jc w:val="left"/>
            </w:pPr>
            <w:r>
              <w:rPr>
                <w:b/>
                <w:bCs/>
                <w:color w:val="FFFFFF"/>
                <w:sz w:val="18"/>
                <w:szCs w:val="18"/>
              </w:rPr>
              <w:t xml:space="preserve">Severity</w:t>
            </w:r>
          </w:p>
        </w:tc>
      </w:tr>
      <w:tr>
        <w:tc>
          <w:tcPr>
            <w:tcW w:type="dxa" w:w="1100"/>
            <w:shd w:fill="FFFFFF" w:val="clear"/>
            <w:tcMar>
              <w:top w:type="dxa" w:w="80"/>
              <w:left w:type="dxa" w:w="100"/>
              <w:bottom w:type="dxa" w:w="80"/>
              <w:right w:type="dxa" w:w="100"/>
            </w:tcMar>
            <w:vAlign w:val="center"/>
          </w:tcPr>
          <w:p>
            <w:pPr>
              <w:jc w:val="left"/>
            </w:pPr>
            <w:r>
              <w:rPr>
                <w:b/>
                <w:bCs/>
                <w:color w:val="000000"/>
                <w:sz w:val="19"/>
                <w:szCs w:val="19"/>
              </w:rPr>
              <w:t xml:space="preserve">4.1 / 4.2 / 4.3</w:t>
            </w:r>
          </w:p>
        </w:tc>
        <w:tc>
          <w:tcPr>
            <w:tcW w:type="dxa" w:w="67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organization has not determined external/internal context, interested-party requirements, or a defined ISMS scope.</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left"/>
            </w:pPr>
            <w:r>
              <w:rPr>
                <w:b/>
                <w:bCs/>
                <w:color w:val="000000"/>
                <w:sz w:val="19"/>
                <w:szCs w:val="19"/>
              </w:rPr>
              <w:t xml:space="preserve">4.4</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ISMS has been established, implemented, maintained or continually improved.</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FFFFF" w:val="clear"/>
            <w:tcMar>
              <w:top w:type="dxa" w:w="80"/>
              <w:left w:type="dxa" w:w="100"/>
              <w:bottom w:type="dxa" w:w="80"/>
              <w:right w:type="dxa" w:w="100"/>
            </w:tcMar>
            <w:vAlign w:val="center"/>
          </w:tcPr>
          <w:p>
            <w:pPr>
              <w:jc w:val="left"/>
            </w:pPr>
            <w:r>
              <w:rPr>
                <w:b/>
                <w:bCs/>
                <w:color w:val="000000"/>
                <w:sz w:val="19"/>
                <w:szCs w:val="19"/>
              </w:rPr>
              <w:t xml:space="preserve">5.2</w:t>
            </w:r>
          </w:p>
        </w:tc>
        <w:tc>
          <w:tcPr>
            <w:tcW w:type="dxa" w:w="67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Information Security Policy has been approved by management or published.</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left"/>
            </w:pPr>
            <w:r>
              <w:rPr>
                <w:b/>
                <w:bCs/>
                <w:color w:val="000000"/>
                <w:sz w:val="19"/>
                <w:szCs w:val="19"/>
              </w:rPr>
              <w:t xml:space="preserve">6.1 (a–c)</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risk assessment process, risk treatment process, or Statement of Applicability exists.</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FFFFF" w:val="clear"/>
            <w:tcMar>
              <w:top w:type="dxa" w:w="80"/>
              <w:left w:type="dxa" w:w="100"/>
              <w:bottom w:type="dxa" w:w="80"/>
              <w:right w:type="dxa" w:w="100"/>
            </w:tcMar>
            <w:vAlign w:val="center"/>
          </w:tcPr>
          <w:p>
            <w:pPr>
              <w:jc w:val="left"/>
            </w:pPr>
            <w:r>
              <w:rPr>
                <w:b/>
                <w:bCs/>
                <w:color w:val="000000"/>
                <w:sz w:val="19"/>
                <w:szCs w:val="19"/>
              </w:rPr>
              <w:t xml:space="preserve">6.2</w:t>
            </w:r>
          </w:p>
        </w:tc>
        <w:tc>
          <w:tcPr>
            <w:tcW w:type="dxa" w:w="67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information security objectives have been established at applicable functions/levels.</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left"/>
            </w:pPr>
            <w:r>
              <w:rPr>
                <w:b/>
                <w:bCs/>
                <w:color w:val="000000"/>
                <w:sz w:val="19"/>
                <w:szCs w:val="19"/>
              </w:rPr>
              <w:t xml:space="preserve">7.2 / 7.3</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Competence requirements are undefined and staff are not made aware of an Information Security Policy.</w:t>
            </w:r>
          </w:p>
        </w:tc>
        <w:tc>
          <w:tcPr>
            <w:tcW w:type="dxa" w:w="150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left"/>
            </w:pPr>
            <w:r>
              <w:rPr>
                <w:b/>
                <w:bCs/>
                <w:color w:val="000000"/>
                <w:sz w:val="19"/>
                <w:szCs w:val="19"/>
              </w:rPr>
              <w:t xml:space="preserve">7.5 (a–b)</w:t>
            </w:r>
          </w:p>
        </w:tc>
        <w:tc>
          <w:tcPr>
            <w:tcW w:type="dxa" w:w="67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Required ISMS documented information does not exist and is not controlled.</w:t>
            </w:r>
          </w:p>
        </w:tc>
        <w:tc>
          <w:tcPr>
            <w:tcW w:type="dxa" w:w="150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2F2F2" w:val="clear"/>
            <w:tcMar>
              <w:top w:type="dxa" w:w="80"/>
              <w:left w:type="dxa" w:w="100"/>
              <w:bottom w:type="dxa" w:w="80"/>
              <w:right w:type="dxa" w:w="100"/>
            </w:tcMar>
            <w:vAlign w:val="center"/>
          </w:tcPr>
          <w:p>
            <w:pPr>
              <w:jc w:val="left"/>
            </w:pPr>
            <w:r>
              <w:rPr>
                <w:b/>
                <w:bCs/>
                <w:color w:val="000000"/>
                <w:sz w:val="19"/>
                <w:szCs w:val="19"/>
              </w:rPr>
              <w:t xml:space="preserve">8.1 – 8.3</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operational planning, periodic risk assessment, or risk treatment plan implementation.</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FFFFF" w:val="clear"/>
            <w:tcMar>
              <w:top w:type="dxa" w:w="80"/>
              <w:left w:type="dxa" w:w="100"/>
              <w:bottom w:type="dxa" w:w="80"/>
              <w:right w:type="dxa" w:w="100"/>
            </w:tcMar>
            <w:vAlign w:val="center"/>
          </w:tcPr>
          <w:p>
            <w:pPr>
              <w:jc w:val="left"/>
            </w:pPr>
            <w:r>
              <w:rPr>
                <w:b/>
                <w:bCs/>
                <w:color w:val="000000"/>
                <w:sz w:val="19"/>
                <w:szCs w:val="19"/>
              </w:rPr>
              <w:t xml:space="preserve">9.1 – 9.3</w:t>
            </w:r>
          </w:p>
        </w:tc>
        <w:tc>
          <w:tcPr>
            <w:tcW w:type="dxa" w:w="67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monitoring/measurement plan, internal audit programme, or management review process.</w:t>
            </w:r>
          </w:p>
        </w:tc>
        <w:tc>
          <w:tcPr>
            <w:tcW w:type="dxa" w:w="150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left"/>
            </w:pPr>
            <w:r>
              <w:rPr>
                <w:b/>
                <w:bCs/>
                <w:color w:val="000000"/>
                <w:sz w:val="19"/>
                <w:szCs w:val="19"/>
              </w:rPr>
              <w:t xml:space="preserve">10.1</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structured continual improvement process for the ISMS.</w:t>
            </w:r>
          </w:p>
        </w:tc>
        <w:tc>
          <w:tcPr>
            <w:tcW w:type="dxa" w:w="150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bl>
    <w:p>
      <w:r>
        <w:br w:type="page"/>
      </w:r>
    </w:p>
    <w:p>
      <w:pPr>
        <w:pStyle w:val="Heading1"/>
        <w:pBdr>
          <w:bottom w:val="single" w:color="1F3864" w:sz="6" w:space="4"/>
        </w:pBdr>
        <w:spacing w:after="160" w:before="320"/>
      </w:pPr>
      <w:r>
        <w:rPr>
          <w:b/>
          <w:bCs/>
          <w:color w:val="1F3864"/>
          <w:sz w:val="28"/>
          <w:szCs w:val="28"/>
        </w:rPr>
        <w:t xml:space="preserve">5. Significant Non-Conformances – Annex A Controls</w:t>
      </w:r>
    </w:p>
    <w:p>
      <w:pPr>
        <w:spacing w:after="160" w:line="276"/>
      </w:pPr>
      <w:r>
        <w:rPr>
          <w:sz w:val="21"/>
          <w:szCs w:val="21"/>
        </w:rPr>
        <w:t xml:space="preserve">The following represents the highest-priority non-conformances among the 100 Annex A controls answered No. The complete finding set for all 133 Annex A controls, including evidence notes and comments for every question, is recorded in the completed ISO27k ISMS Gap Analysis Questionnaire workbook.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650"/>
        <w:gridCol w:w="4650"/>
        <w:gridCol w:w="195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8"/>
                <w:szCs w:val="18"/>
              </w:rPr>
              <w:t xml:space="preserve">Control</w:t>
            </w:r>
          </w:p>
        </w:tc>
        <w:tc>
          <w:tcPr>
            <w:tcW w:type="dxa" w:w="1650"/>
            <w:shd w:fill="1F3864" w:val="clear"/>
            <w:tcMar>
              <w:top w:type="dxa" w:w="80"/>
              <w:left w:type="dxa" w:w="100"/>
              <w:bottom w:type="dxa" w:w="80"/>
              <w:right w:type="dxa" w:w="100"/>
            </w:tcMar>
            <w:vAlign w:val="center"/>
          </w:tcPr>
          <w:p>
            <w:pPr>
              <w:jc w:val="left"/>
            </w:pPr>
            <w:r>
              <w:rPr>
                <w:b/>
                <w:bCs/>
                <w:color w:val="FFFFFF"/>
                <w:sz w:val="18"/>
                <w:szCs w:val="18"/>
              </w:rPr>
              <w:t xml:space="preserve">Domain</w:t>
            </w:r>
          </w:p>
        </w:tc>
        <w:tc>
          <w:tcPr>
            <w:tcW w:type="dxa" w:w="4650"/>
            <w:shd w:fill="1F3864" w:val="clear"/>
            <w:tcMar>
              <w:top w:type="dxa" w:w="80"/>
              <w:left w:type="dxa" w:w="100"/>
              <w:bottom w:type="dxa" w:w="80"/>
              <w:right w:type="dxa" w:w="100"/>
            </w:tcMar>
            <w:vAlign w:val="center"/>
          </w:tcPr>
          <w:p>
            <w:pPr>
              <w:jc w:val="left"/>
            </w:pPr>
            <w:r>
              <w:rPr>
                <w:b/>
                <w:bCs/>
                <w:color w:val="FFFFFF"/>
                <w:sz w:val="18"/>
                <w:szCs w:val="18"/>
              </w:rPr>
              <w:t xml:space="preserve">Finding</w:t>
            </w:r>
          </w:p>
        </w:tc>
        <w:tc>
          <w:tcPr>
            <w:tcW w:type="dxa" w:w="1950"/>
            <w:shd w:fill="1F3864" w:val="clear"/>
            <w:tcMar>
              <w:top w:type="dxa" w:w="80"/>
              <w:left w:type="dxa" w:w="100"/>
              <w:bottom w:type="dxa" w:w="80"/>
              <w:right w:type="dxa" w:w="100"/>
            </w:tcMar>
            <w:vAlign w:val="center"/>
          </w:tcPr>
          <w:p>
            <w:pPr>
              <w:jc w:val="left"/>
            </w:pPr>
            <w:r>
              <w:rPr>
                <w:b/>
                <w:bCs/>
                <w:color w:val="FFFFFF"/>
                <w:sz w:val="18"/>
                <w:szCs w:val="18"/>
              </w:rPr>
              <w:t xml:space="preserve">Severity</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5.19–5.22</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Supplier Relationships</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process to assess, agree, or monitor information security risk from suppliers, ICT supply chain, or subcontractors — vendor onboarding is not security-risk-assessed.</w:t>
            </w:r>
          </w:p>
        </w:tc>
        <w:tc>
          <w:tcPr>
            <w:tcW w:type="dxa" w:w="195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5.24–5.28</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Incident Management</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incident management process, roles, categorization scheme, response procedures, or evidence-preservation procedures exist.</w:t>
            </w:r>
          </w:p>
        </w:tc>
        <w:tc>
          <w:tcPr>
            <w:tcW w:type="dxa" w:w="195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5.34</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Privacy &amp; PII Protection</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PII protection requirements (including GDPR/POPIA obligations for cross-border shipments) have not been identified or mapped to controls.</w:t>
            </w:r>
          </w:p>
        </w:tc>
        <w:tc>
          <w:tcPr>
            <w:tcW w:type="dxa" w:w="195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5.12 / 5.13</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Information Classification</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information classification scheme or labelling procedures exist; data is not classified by confidentiality/sensitivity.</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5.15 / 5.18</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Access Control</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topic-specific access control policy; access rights are not formally reviewed, modified or removed.</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5.30</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Continuity</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Business Impact Analysis conducted; ICT continuity readiness not planned or tested.</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5.9</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Asset Management</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Asset inventory is not consistently maintained, classified, or reassigned on ownership change.</w:t>
            </w:r>
          </w:p>
        </w:tc>
        <w:tc>
          <w:tcPr>
            <w:tcW w:type="dxa" w:w="1950"/>
            <w:shd w:fill="2E7D32" w:val="clear"/>
            <w:tcMar>
              <w:top w:type="dxa" w:w="80"/>
              <w:left w:type="dxa" w:w="100"/>
              <w:bottom w:type="dxa" w:w="80"/>
              <w:right w:type="dxa" w:w="100"/>
            </w:tcMar>
            <w:vAlign w:val="center"/>
          </w:tcPr>
          <w:p>
            <w:pPr>
              <w:jc w:val="center"/>
            </w:pPr>
            <w:r>
              <w:rPr>
                <w:b/>
                <w:bCs/>
                <w:color w:val="FFFFFF"/>
                <w:sz w:val="19"/>
                <w:szCs w:val="19"/>
              </w:rPr>
              <w:t xml:space="preserve">Medium</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6.3</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Security Awareness</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formal, mandatory information security awareness/training programme for personnel.</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8.8</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Vulnerability Management</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process to obtain, evaluate or act on technical vulnerability information for the WMS, tracking platform or infrastructure.</w:t>
            </w:r>
          </w:p>
        </w:tc>
        <w:tc>
          <w:tcPr>
            <w:tcW w:type="dxa" w:w="195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8.9</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Secure Configuration</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documented and monitored secure baseline configurations for hardware, software, services and networks.</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8.15 / 8.16</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Logging &amp; Monitoring</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Logs are not centrally collected, protected or analysed; no capability to detect or act on anomalous activity.</w:t>
            </w:r>
          </w:p>
        </w:tc>
        <w:tc>
          <w:tcPr>
            <w:tcW w:type="dxa" w:w="1950"/>
            <w:shd w:fill="C0392B" w:val="clear"/>
            <w:tcMar>
              <w:top w:type="dxa" w:w="80"/>
              <w:left w:type="dxa" w:w="100"/>
              <w:bottom w:type="dxa" w:w="80"/>
              <w:right w:type="dxa" w:w="100"/>
            </w:tcMar>
            <w:vAlign w:val="center"/>
          </w:tcPr>
          <w:p>
            <w:pPr>
              <w:jc w:val="center"/>
            </w:pPr>
            <w:r>
              <w:rPr>
                <w:b/>
                <w:bCs/>
                <w:color w:val="FFFFFF"/>
                <w:sz w:val="19"/>
                <w:szCs w:val="19"/>
              </w:rPr>
              <w:t xml:space="preserve">Critical</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8.12</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 Leakage Prevention</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DLP tooling or measures deployed to detect/prevent unauthorized data exfiltration.</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FFFFF" w:val="clear"/>
            <w:tcMar>
              <w:top w:type="dxa" w:w="80"/>
              <w:left w:type="dxa" w:w="100"/>
              <w:bottom w:type="dxa" w:w="80"/>
              <w:right w:type="dxa" w:w="100"/>
            </w:tcMar>
            <w:vAlign w:val="center"/>
          </w:tcPr>
          <w:p>
            <w:pPr>
              <w:jc w:val="center"/>
            </w:pPr>
            <w:r>
              <w:rPr>
                <w:b/>
                <w:bCs/>
                <w:color w:val="000000"/>
                <w:sz w:val="19"/>
                <w:szCs w:val="19"/>
              </w:rPr>
              <w:t xml:space="preserve">8.24</w:t>
            </w:r>
          </w:p>
        </w:tc>
        <w:tc>
          <w:tcPr>
            <w:tcW w:type="dxa" w:w="1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Cryptography</w:t>
            </w:r>
          </w:p>
        </w:tc>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organization-wide cryptography or key-management standard; encryption use is inconsistent across systems.</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r>
        <w:tc>
          <w:tcPr>
            <w:tcW w:type="dxa" w:w="1100"/>
            <w:shd w:fill="F2F2F2" w:val="clear"/>
            <w:tcMar>
              <w:top w:type="dxa" w:w="80"/>
              <w:left w:type="dxa" w:w="100"/>
              <w:bottom w:type="dxa" w:w="80"/>
              <w:right w:type="dxa" w:w="100"/>
            </w:tcMar>
            <w:vAlign w:val="center"/>
          </w:tcPr>
          <w:p>
            <w:pPr>
              <w:jc w:val="center"/>
            </w:pPr>
            <w:r>
              <w:rPr>
                <w:b/>
                <w:bCs/>
                <w:color w:val="000000"/>
                <w:sz w:val="19"/>
                <w:szCs w:val="19"/>
              </w:rPr>
              <w:t xml:space="preserve">8.2</w:t>
            </w:r>
          </w:p>
        </w:tc>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Privileged Access</w:t>
            </w:r>
          </w:p>
        </w:tc>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Privileged/administrator access rights are not restricted, formally managed, or independently reviewed.</w:t>
            </w:r>
          </w:p>
        </w:tc>
        <w:tc>
          <w:tcPr>
            <w:tcW w:type="dxa" w:w="1950"/>
            <w:shd w:fill="B7862C" w:val="clear"/>
            <w:tcMar>
              <w:top w:type="dxa" w:w="80"/>
              <w:left w:type="dxa" w:w="100"/>
              <w:bottom w:type="dxa" w:w="80"/>
              <w:right w:type="dxa" w:w="100"/>
            </w:tcMar>
            <w:vAlign w:val="center"/>
          </w:tcPr>
          <w:p>
            <w:pPr>
              <w:jc w:val="center"/>
            </w:pPr>
            <w:r>
              <w:rPr>
                <w:b/>
                <w:bCs/>
                <w:color w:val="FFFFFF"/>
                <w:sz w:val="19"/>
                <w:szCs w:val="19"/>
              </w:rPr>
              <w:t xml:space="preserve">High</w:t>
            </w:r>
          </w:p>
        </w:tc>
      </w:tr>
    </w:tbl>
    <w:p>
      <w:r>
        <w:br w:type="page"/>
      </w:r>
    </w:p>
    <w:p>
      <w:pPr>
        <w:pStyle w:val="Heading1"/>
        <w:pBdr>
          <w:bottom w:val="single" w:color="1F3864" w:sz="6" w:space="4"/>
        </w:pBdr>
        <w:spacing w:after="160" w:before="320"/>
      </w:pPr>
      <w:r>
        <w:rPr>
          <w:b/>
          <w:bCs/>
          <w:color w:val="1F3864"/>
          <w:sz w:val="28"/>
          <w:szCs w:val="28"/>
        </w:rPr>
        <w:t xml:space="preserve">6. Recommendations for Improvement</w:t>
      </w:r>
    </w:p>
    <w:p>
      <w:pPr>
        <w:spacing w:after="160" w:line="276"/>
      </w:pPr>
      <w:r>
        <w:rPr>
          <w:sz w:val="21"/>
          <w:szCs w:val="21"/>
        </w:rPr>
        <w:t xml:space="preserve">The following phased roadmap is recommended to move Falcon Freight Solutions from its current ad hoc state toward a certifiable ISMS. Phase 1 addresses the mandatory Clause requirements and the highest-impact risk areas (vendor risk, incident response); Phase 2 builds out core Annex A controls; Phase 3 establishes the assurance activities (internal audit, management review, continuity testing) required to sustain certification.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700"/>
        <w:gridCol w:w="1650"/>
      </w:tblGrid>
      <w:tr>
        <w:trPr>
          <w:tblHeader/>
        </w:trPr>
        <w:tc>
          <w:tcPr>
            <w:tcW w:type="dxa" w:w="1300"/>
            <w:shd w:fill="1F3864" w:val="clear"/>
            <w:tcMar>
              <w:top w:type="dxa" w:w="80"/>
              <w:left w:type="dxa" w:w="100"/>
              <w:bottom w:type="dxa" w:w="80"/>
              <w:right w:type="dxa" w:w="100"/>
            </w:tcMar>
            <w:vAlign w:val="center"/>
          </w:tcPr>
          <w:p>
            <w:pPr>
              <w:jc w:val="left"/>
            </w:pPr>
            <w:r>
              <w:rPr>
                <w:b/>
                <w:bCs/>
                <w:color w:val="FFFFFF"/>
                <w:sz w:val="18"/>
                <w:szCs w:val="18"/>
              </w:rPr>
              <w:t xml:space="preserve">Phase</w:t>
            </w:r>
          </w:p>
        </w:tc>
        <w:tc>
          <w:tcPr>
            <w:tcW w:type="dxa" w:w="4700"/>
            <w:shd w:fill="1F3864" w:val="clear"/>
            <w:tcMar>
              <w:top w:type="dxa" w:w="80"/>
              <w:left w:type="dxa" w:w="100"/>
              <w:bottom w:type="dxa" w:w="80"/>
              <w:right w:type="dxa" w:w="100"/>
            </w:tcMar>
            <w:vAlign w:val="center"/>
          </w:tcPr>
          <w:p>
            <w:pPr>
              <w:jc w:val="left"/>
            </w:pPr>
            <w:r>
              <w:rPr>
                <w:b/>
                <w:bCs/>
                <w:color w:val="FFFFFF"/>
                <w:sz w:val="18"/>
                <w:szCs w:val="18"/>
              </w:rPr>
              <w:t xml:space="preserve">Key Actions</w:t>
            </w:r>
          </w:p>
        </w:tc>
        <w:tc>
          <w:tcPr>
            <w:tcW w:type="dxa" w:w="1700"/>
            <w:shd w:fill="1F3864" w:val="clear"/>
            <w:tcMar>
              <w:top w:type="dxa" w:w="80"/>
              <w:left w:type="dxa" w:w="100"/>
              <w:bottom w:type="dxa" w:w="80"/>
              <w:right w:type="dxa" w:w="100"/>
            </w:tcMar>
            <w:vAlign w:val="center"/>
          </w:tcPr>
          <w:p>
            <w:pPr>
              <w:jc w:val="left"/>
            </w:pPr>
            <w:r>
              <w:rPr>
                <w:b/>
                <w:bCs/>
                <w:color w:val="FFFFFF"/>
                <w:sz w:val="18"/>
                <w:szCs w:val="18"/>
              </w:rPr>
              <w:t xml:space="preserve">Owner</w:t>
            </w:r>
          </w:p>
        </w:tc>
        <w:tc>
          <w:tcPr>
            <w:tcW w:type="dxa" w:w="1650"/>
            <w:shd w:fill="1F3864" w:val="clear"/>
            <w:tcMar>
              <w:top w:type="dxa" w:w="80"/>
              <w:left w:type="dxa" w:w="100"/>
              <w:bottom w:type="dxa" w:w="80"/>
              <w:right w:type="dxa" w:w="100"/>
            </w:tcMar>
            <w:vAlign w:val="center"/>
          </w:tcPr>
          <w:p>
            <w:pPr>
              <w:jc w:val="left"/>
            </w:pPr>
            <w:r>
              <w:rPr>
                <w:b/>
                <w:bCs/>
                <w:color w:val="FFFFFF"/>
                <w:sz w:val="18"/>
                <w:szCs w:val="18"/>
              </w:rPr>
              <w:t xml:space="preserve">Target Timeframe</w:t>
            </w:r>
          </w:p>
        </w:tc>
      </w:tr>
      <w:tr>
        <w:tc>
          <w:tcPr>
            <w:tcW w:type="dxa" w:w="1300"/>
            <w:shd w:fill="FFFFFF" w:val="clear"/>
            <w:tcMar>
              <w:top w:type="dxa" w:w="80"/>
              <w:left w:type="dxa" w:w="100"/>
              <w:bottom w:type="dxa" w:w="80"/>
              <w:right w:type="dxa" w:w="100"/>
            </w:tcMar>
            <w:vAlign w:val="center"/>
          </w:tcPr>
          <w:p>
            <w:pPr>
              <w:jc w:val="left"/>
            </w:pPr>
            <w:r>
              <w:rPr>
                <w:b/>
                <w:bCs/>
                <w:color w:val="000000"/>
                <w:sz w:val="19"/>
                <w:szCs w:val="19"/>
              </w:rPr>
              <w:t xml:space="preserve">Phase 1
(Foundational)</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Approve and publish an Information Security Policy; define ISMS scope, context and interested parties; establish a risk assessment/treatment methodology and initial Statement of Applicability; stand up a basic incident response process with a defined reporting channel; introduce a security risk assessment step into vendor onboarding.</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Director of IT &amp; Security / Group Risk &amp; Compliance</w:t>
            </w:r>
          </w:p>
        </w:tc>
        <w:tc>
          <w:tcPr>
            <w:tcW w:type="dxa" w:w="16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0–3 months</w:t>
            </w:r>
          </w:p>
        </w:tc>
      </w:tr>
      <w:tr>
        <w:tc>
          <w:tcPr>
            <w:tcW w:type="dxa" w:w="1300"/>
            <w:shd w:fill="F2F2F2" w:val="clear"/>
            <w:tcMar>
              <w:top w:type="dxa" w:w="80"/>
              <w:left w:type="dxa" w:w="100"/>
              <w:bottom w:type="dxa" w:w="80"/>
              <w:right w:type="dxa" w:w="100"/>
            </w:tcMar>
            <w:vAlign w:val="center"/>
          </w:tcPr>
          <w:p>
            <w:pPr>
              <w:jc w:val="left"/>
            </w:pPr>
            <w:r>
              <w:rPr>
                <w:b/>
                <w:bCs/>
                <w:color w:val="000000"/>
                <w:sz w:val="19"/>
                <w:szCs w:val="19"/>
              </w:rPr>
              <w:t xml:space="preserve">Phase 2
(Core Controls)</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Publish an access control policy with quarterly access reviews; build an information classification and labelling scheme; deploy centralized logging/monitoring and a vulnerability management process; document PII-handling procedures aligned to POPIA/GDPR; roll out mandatory security awareness training.</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IT Manager / Cloud Security Architect / Head of Legal &amp; Compliance</w:t>
            </w:r>
          </w:p>
        </w:tc>
        <w:tc>
          <w:tcPr>
            <w:tcW w:type="dxa" w:w="16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3–6 months</w:t>
            </w:r>
          </w:p>
        </w:tc>
      </w:tr>
      <w:tr>
        <w:tc>
          <w:tcPr>
            <w:tcW w:type="dxa" w:w="1300"/>
            <w:shd w:fill="FFFFFF" w:val="clear"/>
            <w:tcMar>
              <w:top w:type="dxa" w:w="80"/>
              <w:left w:type="dxa" w:w="100"/>
              <w:bottom w:type="dxa" w:w="80"/>
              <w:right w:type="dxa" w:w="100"/>
            </w:tcMar>
            <w:vAlign w:val="center"/>
          </w:tcPr>
          <w:p>
            <w:pPr>
              <w:jc w:val="left"/>
            </w:pPr>
            <w:r>
              <w:rPr>
                <w:b/>
                <w:bCs/>
                <w:color w:val="000000"/>
                <w:sz w:val="19"/>
                <w:szCs w:val="19"/>
              </w:rPr>
              <w:t xml:space="preserve">Phase 3
(Assurance &amp; Maturity)</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Establish an internal audit programme and management review cycle; complete a Business Impact Analysis and test ICT continuity/DR arrangements; implement DLP and an organization-wide cryptography/key-management standard; conduct an independent pre-certification review.</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Director of IT &amp; Security / Internal Audit</w:t>
            </w:r>
          </w:p>
        </w:tc>
        <w:tc>
          <w:tcPr>
            <w:tcW w:type="dxa" w:w="16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6–12 months</w:t>
            </w:r>
          </w:p>
        </w:tc>
      </w:tr>
    </w:tbl>
    <w:p>
      <w:pPr>
        <w:spacing w:after="160" w:line="276"/>
      </w:pPr>
      <w:r>
        <w:rPr>
          <w:sz w:val="21"/>
          <w:szCs w:val="21"/>
        </w:rPr>
        <w:t xml:space="preserve">In parallel with this roadmap, Falcon Freight Solutions should complete the two related deliverables already in progress: the Information Security Policy and supporting topic-specific policies, and the Master Risk Register and Third-Party Vendor Risk Register — both of which directly support closing the Clause 5, 6 and Annex A 5.19–5.22 gaps identified above.</w:t>
      </w:r>
    </w:p>
    <w:p>
      <w:pPr>
        <w:pStyle w:val="Heading1"/>
        <w:pBdr>
          <w:bottom w:val="single" w:color="1F3864" w:sz="6" w:space="4"/>
        </w:pBdr>
        <w:spacing w:after="160" w:before="320"/>
      </w:pPr>
      <w:r>
        <w:rPr>
          <w:b/>
          <w:bCs/>
          <w:color w:val="1F3864"/>
          <w:sz w:val="28"/>
          <w:szCs w:val="28"/>
        </w:rPr>
        <w:t xml:space="preserve">7. Conclusion and Next Steps</w:t>
      </w:r>
    </w:p>
    <w:p>
      <w:pPr>
        <w:spacing w:after="160" w:line="276"/>
      </w:pPr>
      <w:r>
        <w:rPr>
          <w:sz w:val="21"/>
          <w:szCs w:val="21"/>
        </w:rPr>
        <w:t xml:space="preserve">Falcon Freight Solutions is at an early, pre-ISMS maturity stage. While this presents a significant number of non-conformances, none are unusual for a fast-growing logistics business that has not yet formalized governance — and none require Falcon Freight Solutions to change its core operating model. The recommended roadmap is achievable within 12 months if resourced and sponsored at the leadership level.</w:t>
      </w:r>
    </w:p>
    <w:p>
      <w:pPr>
        <w:pStyle w:val="ListParagraph"/>
        <w:numPr>
          <w:ilvl w:val="0"/>
          <w:numId w:val="1"/>
        </w:numPr>
        <w:spacing w:after="80" w:line="264"/>
      </w:pPr>
      <w:r>
        <w:rPr>
          <w:sz w:val="21"/>
          <w:szCs w:val="21"/>
        </w:rPr>
        <w:t xml:space="preserve">Secure executive sponsorship and budget for the Phase 1 actions, starting with the Information Security Policy and ISMS scope statement.</w:t>
      </w:r>
    </w:p>
    <w:p>
      <w:pPr>
        <w:pStyle w:val="ListParagraph"/>
        <w:numPr>
          <w:ilvl w:val="0"/>
          <w:numId w:val="1"/>
        </w:numPr>
        <w:spacing w:after="80" w:line="264"/>
      </w:pPr>
      <w:r>
        <w:rPr>
          <w:sz w:val="21"/>
          <w:szCs w:val="21"/>
        </w:rPr>
        <w:t xml:space="preserve">Assign named owners to each Clause and control gap and track remediation through the Master Risk Register.</w:t>
      </w:r>
    </w:p>
    <w:p>
      <w:pPr>
        <w:pStyle w:val="ListParagraph"/>
        <w:numPr>
          <w:ilvl w:val="0"/>
          <w:numId w:val="1"/>
        </w:numPr>
        <w:spacing w:after="80" w:line="264"/>
      </w:pPr>
      <w:r>
        <w:rPr>
          <w:sz w:val="21"/>
          <w:szCs w:val="21"/>
        </w:rPr>
        <w:t xml:space="preserve">Prioritise the vendor risk management process (5.19–5.22) and incident management process (5.24–5.28) given their direct link to the case study's identified business risks.</w:t>
      </w:r>
    </w:p>
    <w:p>
      <w:pPr>
        <w:pStyle w:val="ListParagraph"/>
        <w:numPr>
          <w:ilvl w:val="0"/>
          <w:numId w:val="1"/>
        </w:numPr>
        <w:spacing w:after="80" w:line="264"/>
      </w:pPr>
      <w:r>
        <w:rPr>
          <w:sz w:val="21"/>
          <w:szCs w:val="21"/>
        </w:rPr>
        <w:t xml:space="preserve">Re-run this gap analysis at the mid-point of the roadmap (approximately month 6) to measure progress and adjust priorities before pursuing a formal certification audit.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Falcon Freight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2026-08-01T03:51:25.720Z</dcterms:created>
  <dcterms:modified xsi:type="dcterms:W3CDTF">2026-08-01T03:51:25.745Z</dcterms:modified>
</cp:coreProperties>
</file>

<file path=docProps/custom.xml><?xml version="1.0" encoding="utf-8"?>
<Properties xmlns="http://schemas.openxmlformats.org/officeDocument/2006/custom-properties" xmlns:vt="http://schemas.openxmlformats.org/officeDocument/2006/docPropsVTypes"/>
</file>