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22"/>
          <w:szCs w:val="22"/>
        </w:rPr>
        <w:t xml:space="preserve">FALCON FREIGHT SOLUTIONS</w:t>
      </w:r>
    </w:p>
    <w:p>
      <w:pPr>
        <w:spacing w:after="200"/>
      </w:pPr>
      <w:r>
        <w:rPr>
          <w:i/>
          <w:iCs/>
          <w:color w:val="B7862C"/>
          <w:sz w:val="20"/>
          <w:szCs w:val="20"/>
        </w:rPr>
        <w:t xml:space="preserve">Governance, Risk &amp; Compliance Programme</w:t>
      </w:r>
    </w:p>
    <w:p>
      <w:pPr>
        <w:spacing w:after="100"/>
      </w:pPr>
      <w:r>
        <w:rPr>
          <w:b/>
          <w:bCs/>
          <w:color w:val="1F3864"/>
          <w:sz w:val="40"/>
          <w:szCs w:val="40"/>
        </w:rPr>
        <w:t xml:space="preserve">Third-Party Vendor Risk Assessment Report</w:t>
      </w:r>
    </w:p>
    <w:p>
      <w:pPr>
        <w:spacing w:after="320"/>
      </w:pPr>
      <w:r>
        <w:rPr>
          <w:color w:val="444444"/>
          <w:sz w:val="24"/>
          <w:szCs w:val="24"/>
        </w:rPr>
        <w:t xml:space="preserve">Vendor Assessed: Microsoft Azure (TPV-001)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F2F2F2" w:val="clear"/>
            <w:tcMar>
              <w:top w:type="dxa" w:w="80"/>
              <w:left w:type="dxa" w:w="100"/>
              <w:bottom w:type="dxa" w:w="80"/>
              <w:right w:type="dxa" w:w="100"/>
            </w:tcMar>
            <w:vAlign w:val="center"/>
          </w:tcPr>
          <w:p>
            <w:pPr>
              <w:jc w:val="left"/>
            </w:pPr>
            <w:r>
              <w:rPr>
                <w:b/>
                <w:bCs/>
                <w:color w:val="000000"/>
                <w:sz w:val="20"/>
                <w:szCs w:val="20"/>
              </w:rPr>
              <w:t xml:space="preserve">Document Title</w:t>
            </w:r>
          </w:p>
        </w:tc>
        <w:tc>
          <w:tcPr>
            <w:tcW w:type="dxa" w:w="6950"/>
            <w:tcMar>
              <w:top w:type="dxa" w:w="80"/>
              <w:left w:type="dxa" w:w="100"/>
              <w:bottom w:type="dxa" w:w="80"/>
              <w:right w:type="dxa" w:w="100"/>
            </w:tcMar>
            <w:vAlign w:val="center"/>
          </w:tcPr>
          <w:p>
            <w:pPr>
              <w:jc w:val="left"/>
            </w:pPr>
            <w:r>
              <w:rPr>
                <w:b w:val="false"/>
                <w:bCs w:val="false"/>
                <w:color w:val="000000"/>
                <w:sz w:val="20"/>
                <w:szCs w:val="20"/>
              </w:rPr>
              <w:t xml:space="preserve">Third-Party Vendor Risk Assessment Report – Microsoft Azure (TPV-001)</w:t>
            </w:r>
          </w:p>
        </w:tc>
      </w:tr>
      <w:tr>
        <w:tc>
          <w:tcPr>
            <w:tcW w:type="dxa" w:w="2400"/>
            <w:shd w:fill="F2F2F2" w:val="clear"/>
            <w:tcMar>
              <w:top w:type="dxa" w:w="80"/>
              <w:left w:type="dxa" w:w="100"/>
              <w:bottom w:type="dxa" w:w="80"/>
              <w:right w:type="dxa" w:w="100"/>
            </w:tcMar>
            <w:vAlign w:val="center"/>
          </w:tcPr>
          <w:p>
            <w:pPr>
              <w:jc w:val="left"/>
            </w:pPr>
            <w:r>
              <w:rPr>
                <w:b/>
                <w:bCs/>
                <w:color w:val="000000"/>
                <w:sz w:val="20"/>
                <w:szCs w:val="20"/>
              </w:rPr>
              <w:t xml:space="preserve">Organization</w:t>
            </w:r>
          </w:p>
        </w:tc>
        <w:tc>
          <w:tcPr>
            <w:tcW w:type="dxa" w:w="6950"/>
            <w:tcMar>
              <w:top w:type="dxa" w:w="80"/>
              <w:left w:type="dxa" w:w="100"/>
              <w:bottom w:type="dxa" w:w="80"/>
              <w:right w:type="dxa" w:w="100"/>
            </w:tcMar>
            <w:vAlign w:val="center"/>
          </w:tcPr>
          <w:p>
            <w:pPr>
              <w:jc w:val="left"/>
            </w:pPr>
            <w:r>
              <w:rPr>
                <w:b w:val="false"/>
                <w:bCs w:val="false"/>
                <w:color w:val="000000"/>
                <w:sz w:val="20"/>
                <w:szCs w:val="20"/>
              </w:rPr>
              <w:t xml:space="preserve">Falcon Freight Solutions</w:t>
            </w:r>
          </w:p>
        </w:tc>
      </w:tr>
      <w:tr>
        <w:tc>
          <w:tcPr>
            <w:tcW w:type="dxa" w:w="2400"/>
            <w:shd w:fill="F2F2F2" w:val="clear"/>
            <w:tcMar>
              <w:top w:type="dxa" w:w="80"/>
              <w:left w:type="dxa" w:w="100"/>
              <w:bottom w:type="dxa" w:w="80"/>
              <w:right w:type="dxa" w:w="100"/>
            </w:tcMar>
            <w:vAlign w:val="center"/>
          </w:tcPr>
          <w:p>
            <w:pPr>
              <w:jc w:val="left"/>
            </w:pPr>
            <w:r>
              <w:rPr>
                <w:b/>
                <w:bCs/>
                <w:color w:val="000000"/>
                <w:sz w:val="20"/>
                <w:szCs w:val="20"/>
              </w:rPr>
              <w:t xml:space="preserve">Prepared By</w:t>
            </w:r>
          </w:p>
        </w:tc>
        <w:tc>
          <w:tcPr>
            <w:tcW w:type="dxa" w:w="6950"/>
            <w:tcMar>
              <w:top w:type="dxa" w:w="80"/>
              <w:left w:type="dxa" w:w="100"/>
              <w:bottom w:type="dxa" w:w="80"/>
              <w:right w:type="dxa" w:w="100"/>
            </w:tcMar>
            <w:vAlign w:val="center"/>
          </w:tcPr>
          <w:p>
            <w:pPr>
              <w:jc w:val="left"/>
            </w:pPr>
            <w:r>
              <w:rPr>
                <w:b w:val="false"/>
                <w:bCs w:val="false"/>
                <w:color w:val="000000"/>
                <w:sz w:val="20"/>
                <w:szCs w:val="20"/>
              </w:rPr>
              <w:t xml:space="preserve">GRC Analyst Consultant, Group Risk &amp; Compliance</w:t>
            </w:r>
          </w:p>
        </w:tc>
      </w:tr>
      <w:tr>
        <w:tc>
          <w:tcPr>
            <w:tcW w:type="dxa" w:w="2400"/>
            <w:shd w:fill="F2F2F2" w:val="clear"/>
            <w:tcMar>
              <w:top w:type="dxa" w:w="80"/>
              <w:left w:type="dxa" w:w="100"/>
              <w:bottom w:type="dxa" w:w="80"/>
              <w:right w:type="dxa" w:w="100"/>
            </w:tcMar>
            <w:vAlign w:val="center"/>
          </w:tcPr>
          <w:p>
            <w:pPr>
              <w:jc w:val="left"/>
            </w:pPr>
            <w:r>
              <w:rPr>
                <w:b/>
                <w:bCs/>
                <w:color w:val="000000"/>
                <w:sz w:val="20"/>
                <w:szCs w:val="20"/>
              </w:rPr>
              <w:t xml:space="preserve">Document Owner</w:t>
            </w:r>
          </w:p>
        </w:tc>
        <w:tc>
          <w:tcPr>
            <w:tcW w:type="dxa" w:w="6950"/>
            <w:tcMar>
              <w:top w:type="dxa" w:w="80"/>
              <w:left w:type="dxa" w:w="100"/>
              <w:bottom w:type="dxa" w:w="80"/>
              <w:right w:type="dxa" w:w="100"/>
            </w:tcMar>
            <w:vAlign w:val="center"/>
          </w:tcPr>
          <w:p>
            <w:pPr>
              <w:jc w:val="left"/>
            </w:pPr>
            <w:r>
              <w:rPr>
                <w:b w:val="false"/>
                <w:bCs w:val="false"/>
                <w:color w:val="000000"/>
                <w:sz w:val="20"/>
                <w:szCs w:val="20"/>
              </w:rPr>
              <w:t xml:space="preserve">Director of IT &amp; Security (CISO-equivalent)</w:t>
            </w:r>
          </w:p>
        </w:tc>
      </w:tr>
      <w:tr>
        <w:tc>
          <w:tcPr>
            <w:tcW w:type="dxa" w:w="2400"/>
            <w:shd w:fill="F2F2F2" w:val="clear"/>
            <w:tcMar>
              <w:top w:type="dxa" w:w="80"/>
              <w:left w:type="dxa" w:w="100"/>
              <w:bottom w:type="dxa" w:w="80"/>
              <w:right w:type="dxa" w:w="100"/>
            </w:tcMar>
            <w:vAlign w:val="center"/>
          </w:tcPr>
          <w:p>
            <w:pPr>
              <w:jc w:val="left"/>
            </w:pPr>
            <w:r>
              <w:rPr>
                <w:b/>
                <w:bCs/>
                <w:color w:val="000000"/>
                <w:sz w:val="20"/>
                <w:szCs w:val="20"/>
              </w:rPr>
              <w:t xml:space="preserve">Classification</w:t>
            </w:r>
          </w:p>
        </w:tc>
        <w:tc>
          <w:tcPr>
            <w:tcW w:type="dxa" w:w="6950"/>
            <w:tcMar>
              <w:top w:type="dxa" w:w="80"/>
              <w:left w:type="dxa" w:w="100"/>
              <w:bottom w:type="dxa" w:w="80"/>
              <w:right w:type="dxa" w:w="100"/>
            </w:tcMar>
            <w:vAlign w:val="center"/>
          </w:tcPr>
          <w:p>
            <w:pPr>
              <w:jc w:val="left"/>
            </w:pPr>
            <w:r>
              <w:rPr>
                <w:b w:val="false"/>
                <w:bCs w:val="false"/>
                <w:color w:val="000000"/>
                <w:sz w:val="20"/>
                <w:szCs w:val="20"/>
              </w:rPr>
              <w:t xml:space="preserve">Confidential – Internal Use Only</w:t>
            </w:r>
          </w:p>
        </w:tc>
      </w:tr>
      <w:tr>
        <w:tc>
          <w:tcPr>
            <w:tcW w:type="dxa" w:w="2400"/>
            <w:shd w:fill="F2F2F2" w:val="clear"/>
            <w:tcMar>
              <w:top w:type="dxa" w:w="80"/>
              <w:left w:type="dxa" w:w="100"/>
              <w:bottom w:type="dxa" w:w="80"/>
              <w:right w:type="dxa" w:w="100"/>
            </w:tcMar>
            <w:vAlign w:val="center"/>
          </w:tcPr>
          <w:p>
            <w:pPr>
              <w:jc w:val="left"/>
            </w:pPr>
            <w:r>
              <w:rPr>
                <w:b/>
                <w:bCs/>
                <w:color w:val="000000"/>
                <w:sz w:val="20"/>
                <w:szCs w:val="20"/>
              </w:rPr>
              <w:t xml:space="preserve">Version</w:t>
            </w:r>
          </w:p>
        </w:tc>
        <w:tc>
          <w:tcPr>
            <w:tcW w:type="dxa" w:w="6950"/>
            <w:tcMar>
              <w:top w:type="dxa" w:w="80"/>
              <w:left w:type="dxa" w:w="100"/>
              <w:bottom w:type="dxa" w:w="80"/>
              <w:right w:type="dxa" w:w="100"/>
            </w:tcMar>
            <w:vAlign w:val="center"/>
          </w:tcPr>
          <w:p>
            <w:pPr>
              <w:jc w:val="left"/>
            </w:pPr>
            <w:r>
              <w:rPr>
                <w:b w:val="false"/>
                <w:bCs w:val="false"/>
                <w:color w:val="000000"/>
                <w:sz w:val="20"/>
                <w:szCs w:val="20"/>
              </w:rPr>
              <w:t xml:space="preserve">1.0</w:t>
            </w:r>
          </w:p>
        </w:tc>
      </w:tr>
      <w:tr>
        <w:tc>
          <w:tcPr>
            <w:tcW w:type="dxa" w:w="2400"/>
            <w:shd w:fill="F2F2F2" w:val="clear"/>
            <w:tcMar>
              <w:top w:type="dxa" w:w="80"/>
              <w:left w:type="dxa" w:w="100"/>
              <w:bottom w:type="dxa" w:w="80"/>
              <w:right w:type="dxa" w:w="100"/>
            </w:tcMar>
            <w:vAlign w:val="center"/>
          </w:tcPr>
          <w:p>
            <w:pPr>
              <w:jc w:val="left"/>
            </w:pPr>
            <w:r>
              <w:rPr>
                <w:b/>
                <w:bCs/>
                <w:color w:val="000000"/>
                <w:sz w:val="20"/>
                <w:szCs w:val="20"/>
              </w:rPr>
              <w:t xml:space="preserve">Assessment Date</w:t>
            </w:r>
          </w:p>
        </w:tc>
        <w:tc>
          <w:tcPr>
            <w:tcW w:type="dxa" w:w="6950"/>
            <w:tcMar>
              <w:top w:type="dxa" w:w="80"/>
              <w:left w:type="dxa" w:w="100"/>
              <w:bottom w:type="dxa" w:w="80"/>
              <w:right w:type="dxa" w:w="100"/>
            </w:tcMar>
            <w:vAlign w:val="center"/>
          </w:tcPr>
          <w:p>
            <w:pPr>
              <w:jc w:val="left"/>
            </w:pPr>
            <w:r>
              <w:rPr>
                <w:b w:val="false"/>
                <w:bCs w:val="false"/>
                <w:color w:val="000000"/>
                <w:sz w:val="20"/>
                <w:szCs w:val="20"/>
              </w:rPr>
              <w:t xml:space="preserve">12 August 2026</w:t>
            </w:r>
          </w:p>
        </w:tc>
      </w:tr>
      <w:tr>
        <w:tc>
          <w:tcPr>
            <w:tcW w:type="dxa" w:w="2400"/>
            <w:shd w:fill="F2F2F2" w:val="clear"/>
            <w:tcMar>
              <w:top w:type="dxa" w:w="80"/>
              <w:left w:type="dxa" w:w="100"/>
              <w:bottom w:type="dxa" w:w="80"/>
              <w:right w:type="dxa" w:w="100"/>
            </w:tcMar>
            <w:vAlign w:val="center"/>
          </w:tcPr>
          <w:p>
            <w:pPr>
              <w:jc w:val="left"/>
            </w:pPr>
            <w:r>
              <w:rPr>
                <w:b/>
                <w:bCs/>
                <w:color w:val="000000"/>
                <w:sz w:val="20"/>
                <w:szCs w:val="20"/>
              </w:rPr>
              <w:t xml:space="preserve">Next Review Due</w:t>
            </w:r>
          </w:p>
        </w:tc>
        <w:tc>
          <w:tcPr>
            <w:tcW w:type="dxa" w:w="6950"/>
            <w:tcMar>
              <w:top w:type="dxa" w:w="80"/>
              <w:left w:type="dxa" w:w="100"/>
              <w:bottom w:type="dxa" w:w="80"/>
              <w:right w:type="dxa" w:w="100"/>
            </w:tcMar>
            <w:vAlign w:val="center"/>
          </w:tcPr>
          <w:p>
            <w:pPr>
              <w:jc w:val="left"/>
            </w:pPr>
            <w:r>
              <w:rPr>
                <w:b w:val="false"/>
                <w:bCs w:val="false"/>
                <w:color w:val="000000"/>
                <w:sz w:val="20"/>
                <w:szCs w:val="20"/>
              </w:rPr>
              <w:t xml:space="preserve">20 January 2027 (annual re-assessment cycle)</w:t>
            </w:r>
          </w:p>
        </w:tc>
      </w:tr>
      <w:tr>
        <w:tc>
          <w:tcPr>
            <w:tcW w:type="dxa" w:w="2400"/>
            <w:shd w:fill="F2F2F2" w:val="clear"/>
            <w:tcMar>
              <w:top w:type="dxa" w:w="80"/>
              <w:left w:type="dxa" w:w="100"/>
              <w:bottom w:type="dxa" w:w="80"/>
              <w:right w:type="dxa" w:w="100"/>
            </w:tcMar>
            <w:vAlign w:val="center"/>
          </w:tcPr>
          <w:p>
            <w:pPr>
              <w:jc w:val="left"/>
            </w:pPr>
            <w:r>
              <w:rPr>
                <w:b/>
                <w:bCs/>
                <w:color w:val="000000"/>
                <w:sz w:val="20"/>
                <w:szCs w:val="20"/>
              </w:rPr>
              <w:t xml:space="preserve">Related Documents</w:t>
            </w:r>
          </w:p>
        </w:tc>
        <w:tc>
          <w:tcPr>
            <w:tcW w:type="dxa" w:w="6950"/>
            <w:tcMar>
              <w:top w:type="dxa" w:w="80"/>
              <w:left w:type="dxa" w:w="100"/>
              <w:bottom w:type="dxa" w:w="80"/>
              <w:right w:type="dxa" w:w="100"/>
            </w:tcMar>
            <w:vAlign w:val="center"/>
          </w:tcPr>
          <w:p>
            <w:pPr>
              <w:jc w:val="left"/>
            </w:pPr>
            <w:r>
              <w:rPr>
                <w:b w:val="false"/>
                <w:bCs w:val="false"/>
                <w:color w:val="000000"/>
                <w:sz w:val="20"/>
                <w:szCs w:val="20"/>
              </w:rPr>
              <w:t xml:space="preserve">Falcon Freight Solutions Third-Party &amp; Vendor Risk Questionnaire (completed); Enterprise Risk Register – Third-Party Vendor Register; ISO/IEC 27001 ISMS Gap Analysis</w:t>
            </w:r>
          </w:p>
        </w:tc>
      </w:tr>
    </w:tbl>
    <w:p>
      <w:r>
        <w:br w:type="page"/>
      </w:r>
    </w:p>
    <w:p>
      <w:pPr>
        <w:pStyle w:val="Heading1"/>
        <w:pBdr>
          <w:bottom w:val="single" w:color="1F3864" w:sz="6" w:space="4"/>
        </w:pBdr>
        <w:spacing w:after="160" w:before="320"/>
      </w:pPr>
      <w:r>
        <w:rPr>
          <w:b/>
          <w:bCs/>
          <w:color w:val="1F3864"/>
          <w:sz w:val="28"/>
          <w:szCs w:val="28"/>
        </w:rPr>
        <w:t xml:space="preserve">1. Purpose and Scope</w:t>
      </w:r>
    </w:p>
    <w:p>
      <w:pPr>
        <w:spacing w:after="160" w:line="276"/>
      </w:pPr>
      <w:r>
        <w:rPr>
          <w:sz w:val="21"/>
          <w:szCs w:val="21"/>
        </w:rPr>
        <w:t xml:space="preserve">This report documents the findings of the third-party vendor risk assessment conducted as part of Falcon Freight Solutions' Governance, Risk and Compliance (GRC) programme. The assessment was performed using the Falcon Freight Solutions Third-Party &amp; Vendor Risk Questionnaire, and covers Microsoft Azure (Vendor ID TPV-001), the cloud provider hosting Falcon Freight Solutions' shipment tracking platform and supporting infrastructure.</w:t>
      </w:r>
    </w:p>
    <w:p>
      <w:pPr>
        <w:spacing w:after="160" w:line="276"/>
      </w:pPr>
      <w:r>
        <w:rPr>
          <w:sz w:val="21"/>
          <w:szCs w:val="21"/>
        </w:rPr>
        <w:t xml:space="preserve">Microsoft Azure was selected for this assessment because it is rated as a High inherent-risk vendor in the Enterprise Risk Register – Third-Party Vendor Register, given its role hosting customer PII, shipment records, geolocation data and system logs for a business-critical operational system.</w:t>
      </w:r>
    </w:p>
    <w:p>
      <w:pPr>
        <w:pStyle w:val="Heading1"/>
        <w:pBdr>
          <w:bottom w:val="single" w:color="1F3864" w:sz="6" w:space="4"/>
        </w:pBdr>
        <w:spacing w:after="160" w:before="320"/>
      </w:pPr>
      <w:r>
        <w:rPr>
          <w:b/>
          <w:bCs/>
          <w:color w:val="1F3864"/>
          <w:sz w:val="28"/>
          <w:szCs w:val="28"/>
        </w:rPr>
        <w:t xml:space="preserve">2. Methodology</w:t>
      </w:r>
    </w:p>
    <w:p>
      <w:pPr>
        <w:spacing w:after="160" w:line="276"/>
      </w:pPr>
      <w:r>
        <w:rPr>
          <w:sz w:val="21"/>
          <w:szCs w:val="21"/>
        </w:rPr>
        <w:t xml:space="preserve">The vendor completed all 76 questions across 12 risk domains in the Third-Party &amp; Vendor Risk Questionnaire, providing a response (Yes / Partial / Compensating Control / No / Not Applicable), supporting evidence references, and comments for each question. Responses were scored as follows and rolled up into weighted section scores and an overall risk rating:</w:t>
      </w:r>
    </w:p>
    <w:p>
      <w:pPr>
        <w:pStyle w:val="ListParagraph"/>
        <w:numPr>
          <w:ilvl w:val="0"/>
          <w:numId w:val="1"/>
        </w:numPr>
        <w:spacing w:after="80" w:line="264"/>
      </w:pPr>
      <w:r>
        <w:rPr>
          <w:sz w:val="21"/>
          <w:szCs w:val="21"/>
        </w:rPr>
        <w:t xml:space="preserve">Yes = 2 points — control fully implemented and operating effectively</w:t>
      </w:r>
    </w:p>
    <w:p>
      <w:pPr>
        <w:pStyle w:val="ListParagraph"/>
        <w:numPr>
          <w:ilvl w:val="0"/>
          <w:numId w:val="1"/>
        </w:numPr>
        <w:spacing w:after="80" w:line="264"/>
      </w:pPr>
      <w:r>
        <w:rPr>
          <w:sz w:val="21"/>
          <w:szCs w:val="21"/>
        </w:rPr>
        <w:t xml:space="preserve">Partial / Compensating Control = 1 point — partially implemented or an alternative control is in place, requiring a remediation plan</w:t>
      </w:r>
    </w:p>
    <w:p>
      <w:pPr>
        <w:pStyle w:val="ListParagraph"/>
        <w:numPr>
          <w:ilvl w:val="0"/>
          <w:numId w:val="1"/>
        </w:numPr>
        <w:spacing w:after="80" w:line="264"/>
      </w:pPr>
      <w:r>
        <w:rPr>
          <w:sz w:val="21"/>
          <w:szCs w:val="21"/>
        </w:rPr>
        <w:t xml:space="preserve">No = 0 points — control not implemented, requiring mandatory remediation</w:t>
      </w:r>
    </w:p>
    <w:p>
      <w:pPr>
        <w:pStyle w:val="ListParagraph"/>
        <w:numPr>
          <w:ilvl w:val="0"/>
          <w:numId w:val="1"/>
        </w:numPr>
        <w:spacing w:after="80" w:line="264"/>
      </w:pPr>
      <w:r>
        <w:rPr>
          <w:sz w:val="21"/>
          <w:szCs w:val="21"/>
        </w:rPr>
        <w:t xml:space="preserve">Not Applicable — excluded from the scoring denominator</w:t>
      </w:r>
    </w:p>
    <w:p>
      <w:pPr>
        <w:spacing w:after="160" w:line="276"/>
      </w:pPr>
      <w:r>
        <w:rPr>
          <w:sz w:val="21"/>
          <w:szCs w:val="21"/>
        </w:rPr>
        <w:t xml:space="preserve">Overall risk ratings are banded as: 85–100% Low Risk, 70–84% Medium Risk, 50–69% High Risk, and below 50% Critical Risk. Sections 2 (Data Privacy), 5 (Data Protection &amp; Cryptography) and 10 (Incident Management) carry the highest weighting (15%, 12% and 12% respectively) in recognition of the sensitivity of the data this vendor processes.</w:t>
      </w:r>
    </w:p>
    <w:p>
      <w:pPr>
        <w:pStyle w:val="Heading1"/>
        <w:pBdr>
          <w:bottom w:val="single" w:color="1F3864" w:sz="6" w:space="4"/>
        </w:pBdr>
        <w:spacing w:after="160" w:before="320"/>
      </w:pPr>
      <w:r>
        <w:rPr>
          <w:b/>
          <w:bCs/>
          <w:color w:val="1F3864"/>
          <w:sz w:val="28"/>
          <w:szCs w:val="28"/>
        </w:rPr>
        <w:t xml:space="preserve">3. Vendor Profile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F2F2F2" w:val="clear"/>
            <w:tcMar>
              <w:top w:type="dxa" w:w="80"/>
              <w:left w:type="dxa" w:w="100"/>
              <w:bottom w:type="dxa" w:w="80"/>
              <w:right w:type="dxa" w:w="100"/>
            </w:tcMar>
            <w:vAlign w:val="center"/>
          </w:tcPr>
          <w:p>
            <w:pPr>
              <w:jc w:val="left"/>
            </w:pPr>
            <w:r>
              <w:rPr>
                <w:b/>
                <w:bCs/>
                <w:color w:val="000000"/>
                <w:sz w:val="20"/>
                <w:szCs w:val="20"/>
              </w:rPr>
              <w:t xml:space="preserve">Vendor Legal Name</w:t>
            </w:r>
          </w:p>
        </w:tc>
        <w:tc>
          <w:tcPr>
            <w:tcW w:type="dxa" w:w="6750"/>
            <w:tcMar>
              <w:top w:type="dxa" w:w="80"/>
              <w:left w:type="dxa" w:w="100"/>
              <w:bottom w:type="dxa" w:w="80"/>
              <w:right w:type="dxa" w:w="100"/>
            </w:tcMar>
            <w:vAlign w:val="center"/>
          </w:tcPr>
          <w:p>
            <w:pPr>
              <w:jc w:val="left"/>
            </w:pPr>
            <w:r>
              <w:rPr>
                <w:b w:val="false"/>
                <w:bCs w:val="false"/>
                <w:color w:val="000000"/>
                <w:sz w:val="20"/>
                <w:szCs w:val="20"/>
              </w:rPr>
              <w:t xml:space="preserve">Microsoft Ireland Operations Limited, trading as Microsoft Azure</w:t>
            </w:r>
          </w:p>
        </w:tc>
      </w:tr>
      <w:tr>
        <w:tc>
          <w:tcPr>
            <w:tcW w:type="dxa" w:w="2600"/>
            <w:shd w:fill="F2F2F2" w:val="clear"/>
            <w:tcMar>
              <w:top w:type="dxa" w:w="80"/>
              <w:left w:type="dxa" w:w="100"/>
              <w:bottom w:type="dxa" w:w="80"/>
              <w:right w:type="dxa" w:w="100"/>
            </w:tcMar>
            <w:vAlign w:val="center"/>
          </w:tcPr>
          <w:p>
            <w:pPr>
              <w:jc w:val="left"/>
            </w:pPr>
            <w:r>
              <w:rPr>
                <w:b/>
                <w:bCs/>
                <w:color w:val="000000"/>
                <w:sz w:val="20"/>
                <w:szCs w:val="20"/>
              </w:rPr>
              <w:t xml:space="preserve">Vendor ID / Risk Register Ref.</w:t>
            </w:r>
          </w:p>
        </w:tc>
        <w:tc>
          <w:tcPr>
            <w:tcW w:type="dxa" w:w="6750"/>
            <w:tcMar>
              <w:top w:type="dxa" w:w="80"/>
              <w:left w:type="dxa" w:w="100"/>
              <w:bottom w:type="dxa" w:w="80"/>
              <w:right w:type="dxa" w:w="100"/>
            </w:tcMar>
            <w:vAlign w:val="center"/>
          </w:tcPr>
          <w:p>
            <w:pPr>
              <w:jc w:val="left"/>
            </w:pPr>
            <w:r>
              <w:rPr>
                <w:b w:val="false"/>
                <w:bCs w:val="false"/>
                <w:color w:val="000000"/>
                <w:sz w:val="20"/>
                <w:szCs w:val="20"/>
              </w:rPr>
              <w:t xml:space="preserve">TPV-001</w:t>
            </w:r>
          </w:p>
        </w:tc>
      </w:tr>
      <w:tr>
        <w:tc>
          <w:tcPr>
            <w:tcW w:type="dxa" w:w="2600"/>
            <w:shd w:fill="F2F2F2" w:val="clear"/>
            <w:tcMar>
              <w:top w:type="dxa" w:w="80"/>
              <w:left w:type="dxa" w:w="100"/>
              <w:bottom w:type="dxa" w:w="80"/>
              <w:right w:type="dxa" w:w="100"/>
            </w:tcMar>
            <w:vAlign w:val="center"/>
          </w:tcPr>
          <w:p>
            <w:pPr>
              <w:jc w:val="left"/>
            </w:pPr>
            <w:r>
              <w:rPr>
                <w:b/>
                <w:bCs/>
                <w:color w:val="000000"/>
                <w:sz w:val="20"/>
                <w:szCs w:val="20"/>
              </w:rPr>
              <w:t xml:space="preserve">Vendor Type</w:t>
            </w:r>
          </w:p>
        </w:tc>
        <w:tc>
          <w:tcPr>
            <w:tcW w:type="dxa" w:w="6750"/>
            <w:tcMar>
              <w:top w:type="dxa" w:w="80"/>
              <w:left w:type="dxa" w:w="100"/>
              <w:bottom w:type="dxa" w:w="80"/>
              <w:right w:type="dxa" w:w="100"/>
            </w:tcMar>
            <w:vAlign w:val="center"/>
          </w:tcPr>
          <w:p>
            <w:pPr>
              <w:jc w:val="left"/>
            </w:pPr>
            <w:r>
              <w:rPr>
                <w:b w:val="false"/>
                <w:bCs w:val="false"/>
                <w:color w:val="000000"/>
                <w:sz w:val="20"/>
                <w:szCs w:val="20"/>
              </w:rPr>
              <w:t xml:space="preserve">Cloud / SaaS Vendor</w:t>
            </w:r>
          </w:p>
        </w:tc>
      </w:tr>
      <w:tr>
        <w:tc>
          <w:tcPr>
            <w:tcW w:type="dxa" w:w="2600"/>
            <w:shd w:fill="F2F2F2" w:val="clear"/>
            <w:tcMar>
              <w:top w:type="dxa" w:w="80"/>
              <w:left w:type="dxa" w:w="100"/>
              <w:bottom w:type="dxa" w:w="80"/>
              <w:right w:type="dxa" w:w="100"/>
            </w:tcMar>
            <w:vAlign w:val="center"/>
          </w:tcPr>
          <w:p>
            <w:pPr>
              <w:jc w:val="left"/>
            </w:pPr>
            <w:r>
              <w:rPr>
                <w:b/>
                <w:bCs/>
                <w:color w:val="000000"/>
                <w:sz w:val="20"/>
                <w:szCs w:val="20"/>
              </w:rPr>
              <w:t xml:space="preserve">Services Provided</w:t>
            </w:r>
          </w:p>
        </w:tc>
        <w:tc>
          <w:tcPr>
            <w:tcW w:type="dxa" w:w="6750"/>
            <w:tcMar>
              <w:top w:type="dxa" w:w="80"/>
              <w:left w:type="dxa" w:w="100"/>
              <w:bottom w:type="dxa" w:w="80"/>
              <w:right w:type="dxa" w:w="100"/>
            </w:tcMar>
            <w:vAlign w:val="center"/>
          </w:tcPr>
          <w:p>
            <w:pPr>
              <w:jc w:val="left"/>
            </w:pPr>
            <w:r>
              <w:rPr>
                <w:b w:val="false"/>
                <w:bCs w:val="false"/>
                <w:color w:val="000000"/>
                <w:sz w:val="20"/>
                <w:szCs w:val="20"/>
              </w:rPr>
              <w:t xml:space="preserve">Hosting of Falcon Freight Solutions' cloud-based shipment tracking platform and related infrastructure (compute, storage, networking, platform security)</w:t>
            </w:r>
          </w:p>
        </w:tc>
      </w:tr>
      <w:tr>
        <w:tc>
          <w:tcPr>
            <w:tcW w:type="dxa" w:w="2600"/>
            <w:shd w:fill="F2F2F2" w:val="clear"/>
            <w:tcMar>
              <w:top w:type="dxa" w:w="80"/>
              <w:left w:type="dxa" w:w="100"/>
              <w:bottom w:type="dxa" w:w="80"/>
              <w:right w:type="dxa" w:w="100"/>
            </w:tcMar>
            <w:vAlign w:val="center"/>
          </w:tcPr>
          <w:p>
            <w:pPr>
              <w:jc w:val="left"/>
            </w:pPr>
            <w:r>
              <w:rPr>
                <w:b/>
                <w:bCs/>
                <w:color w:val="000000"/>
                <w:sz w:val="20"/>
                <w:szCs w:val="20"/>
              </w:rPr>
              <w:t xml:space="preserve">Data Types Handled</w:t>
            </w:r>
          </w:p>
        </w:tc>
        <w:tc>
          <w:tcPr>
            <w:tcW w:type="dxa" w:w="6750"/>
            <w:tcMar>
              <w:top w:type="dxa" w:w="80"/>
              <w:left w:type="dxa" w:w="100"/>
              <w:bottom w:type="dxa" w:w="80"/>
              <w:right w:type="dxa" w:w="100"/>
            </w:tcMar>
            <w:vAlign w:val="center"/>
          </w:tcPr>
          <w:p>
            <w:pPr>
              <w:jc w:val="left"/>
            </w:pPr>
            <w:r>
              <w:rPr>
                <w:b w:val="false"/>
                <w:bCs w:val="false"/>
                <w:color w:val="000000"/>
                <w:sz w:val="20"/>
                <w:szCs w:val="20"/>
              </w:rPr>
              <w:t xml:space="preserve">Shipment records; customer PII; geolocation data; system/application logs</w:t>
            </w:r>
          </w:p>
        </w:tc>
      </w:tr>
      <w:tr>
        <w:tc>
          <w:tcPr>
            <w:tcW w:type="dxa" w:w="2600"/>
            <w:shd w:fill="F2F2F2" w:val="clear"/>
            <w:tcMar>
              <w:top w:type="dxa" w:w="80"/>
              <w:left w:type="dxa" w:w="100"/>
              <w:bottom w:type="dxa" w:w="80"/>
              <w:right w:type="dxa" w:w="100"/>
            </w:tcMar>
            <w:vAlign w:val="center"/>
          </w:tcPr>
          <w:p>
            <w:pPr>
              <w:jc w:val="left"/>
            </w:pPr>
            <w:r>
              <w:rPr>
                <w:b/>
                <w:bCs/>
                <w:color w:val="000000"/>
                <w:sz w:val="20"/>
                <w:szCs w:val="20"/>
              </w:rPr>
              <w:t xml:space="preserve">Data Residency</w:t>
            </w:r>
          </w:p>
        </w:tc>
        <w:tc>
          <w:tcPr>
            <w:tcW w:type="dxa" w:w="6750"/>
            <w:tcMar>
              <w:top w:type="dxa" w:w="80"/>
              <w:left w:type="dxa" w:w="100"/>
              <w:bottom w:type="dxa" w:w="80"/>
              <w:right w:type="dxa" w:w="100"/>
            </w:tcMar>
            <w:vAlign w:val="center"/>
          </w:tcPr>
          <w:p>
            <w:pPr>
              <w:jc w:val="left"/>
            </w:pPr>
            <w:r>
              <w:rPr>
                <w:b w:val="false"/>
                <w:bCs w:val="false"/>
                <w:color w:val="000000"/>
                <w:sz w:val="20"/>
                <w:szCs w:val="20"/>
              </w:rPr>
              <w:t xml:space="preserve">Primary: Azure South Africa North (Johannesburg). DR: Azure West Europe (Netherlands)</w:t>
            </w:r>
          </w:p>
        </w:tc>
      </w:tr>
      <w:tr>
        <w:tc>
          <w:tcPr>
            <w:tcW w:type="dxa" w:w="2600"/>
            <w:shd w:fill="F2F2F2" w:val="clear"/>
            <w:tcMar>
              <w:top w:type="dxa" w:w="80"/>
              <w:left w:type="dxa" w:w="100"/>
              <w:bottom w:type="dxa" w:w="80"/>
              <w:right w:type="dxa" w:w="100"/>
            </w:tcMar>
            <w:vAlign w:val="center"/>
          </w:tcPr>
          <w:p>
            <w:pPr>
              <w:jc w:val="left"/>
            </w:pPr>
            <w:r>
              <w:rPr>
                <w:b/>
                <w:bCs/>
                <w:color w:val="000000"/>
                <w:sz w:val="20"/>
                <w:szCs w:val="20"/>
              </w:rPr>
              <w:t xml:space="preserve">Inherent Risk Level (pre-assessment)</w:t>
            </w:r>
          </w:p>
        </w:tc>
        <w:tc>
          <w:tcPr>
            <w:tcW w:type="dxa" w:w="6750"/>
            <w:tcMar>
              <w:top w:type="dxa" w:w="80"/>
              <w:left w:type="dxa" w:w="100"/>
              <w:bottom w:type="dxa" w:w="80"/>
              <w:right w:type="dxa" w:w="100"/>
            </w:tcMar>
            <w:vAlign w:val="center"/>
          </w:tcPr>
          <w:p>
            <w:pPr>
              <w:jc w:val="left"/>
            </w:pPr>
            <w:r>
              <w:rPr>
                <w:b w:val="false"/>
                <w:bCs w:val="false"/>
                <w:color w:val="000000"/>
                <w:sz w:val="20"/>
                <w:szCs w:val="20"/>
              </w:rPr>
              <w:t xml:space="preserve">High</w:t>
            </w:r>
          </w:p>
        </w:tc>
      </w:tr>
      <w:tr>
        <w:tc>
          <w:tcPr>
            <w:tcW w:type="dxa" w:w="2600"/>
            <w:shd w:fill="F2F2F2" w:val="clear"/>
            <w:tcMar>
              <w:top w:type="dxa" w:w="80"/>
              <w:left w:type="dxa" w:w="100"/>
              <w:bottom w:type="dxa" w:w="80"/>
              <w:right w:type="dxa" w:w="100"/>
            </w:tcMar>
            <w:vAlign w:val="center"/>
          </w:tcPr>
          <w:p>
            <w:pPr>
              <w:jc w:val="left"/>
            </w:pPr>
            <w:r>
              <w:rPr>
                <w:b/>
                <w:bCs/>
                <w:color w:val="000000"/>
                <w:sz w:val="20"/>
                <w:szCs w:val="20"/>
              </w:rPr>
              <w:t xml:space="preserve">Risk Owner</w:t>
            </w:r>
          </w:p>
        </w:tc>
        <w:tc>
          <w:tcPr>
            <w:tcW w:type="dxa" w:w="6750"/>
            <w:tcMar>
              <w:top w:type="dxa" w:w="80"/>
              <w:left w:type="dxa" w:w="100"/>
              <w:bottom w:type="dxa" w:w="80"/>
              <w:right w:type="dxa" w:w="100"/>
            </w:tcMar>
            <w:vAlign w:val="center"/>
          </w:tcPr>
          <w:p>
            <w:pPr>
              <w:jc w:val="left"/>
            </w:pPr>
            <w:r>
              <w:rPr>
                <w:b w:val="false"/>
                <w:bCs w:val="false"/>
                <w:color w:val="000000"/>
                <w:sz w:val="20"/>
                <w:szCs w:val="20"/>
              </w:rPr>
              <w:t xml:space="preserve">Cloud Security Architect</w:t>
            </w:r>
          </w:p>
        </w:tc>
      </w:tr>
      <w:tr>
        <w:tc>
          <w:tcPr>
            <w:tcW w:type="dxa" w:w="2600"/>
            <w:shd w:fill="F2F2F2" w:val="clear"/>
            <w:tcMar>
              <w:top w:type="dxa" w:w="80"/>
              <w:left w:type="dxa" w:w="100"/>
              <w:bottom w:type="dxa" w:w="80"/>
              <w:right w:type="dxa" w:w="100"/>
            </w:tcMar>
            <w:vAlign w:val="center"/>
          </w:tcPr>
          <w:p>
            <w:pPr>
              <w:jc w:val="left"/>
            </w:pPr>
            <w:r>
              <w:rPr>
                <w:b/>
                <w:bCs/>
                <w:color w:val="000000"/>
                <w:sz w:val="20"/>
                <w:szCs w:val="20"/>
              </w:rPr>
              <w:t xml:space="preserve">Relevant Certifications Held</w:t>
            </w:r>
          </w:p>
        </w:tc>
        <w:tc>
          <w:tcPr>
            <w:tcW w:type="dxa" w:w="6750"/>
            <w:tcMar>
              <w:top w:type="dxa" w:w="80"/>
              <w:left w:type="dxa" w:w="100"/>
              <w:bottom w:type="dxa" w:w="80"/>
              <w:right w:type="dxa" w:w="100"/>
            </w:tcMar>
            <w:vAlign w:val="center"/>
          </w:tcPr>
          <w:p>
            <w:pPr>
              <w:jc w:val="left"/>
            </w:pPr>
            <w:r>
              <w:rPr>
                <w:b w:val="false"/>
                <w:bCs w:val="false"/>
                <w:color w:val="000000"/>
                <w:sz w:val="20"/>
                <w:szCs w:val="20"/>
              </w:rPr>
              <w:t xml:space="preserve">ISO/IEC 27001:2022, ISO/IEC 27017, ISO/IEC 27018, SOC 2 Type II, PCI DSS Level 1</w:t>
            </w:r>
          </w:p>
        </w:tc>
      </w:tr>
      <w:tr>
        <w:tc>
          <w:tcPr>
            <w:tcW w:type="dxa" w:w="2600"/>
            <w:shd w:fill="F2F2F2" w:val="clear"/>
            <w:tcMar>
              <w:top w:type="dxa" w:w="80"/>
              <w:left w:type="dxa" w:w="100"/>
              <w:bottom w:type="dxa" w:w="80"/>
              <w:right w:type="dxa" w:w="100"/>
            </w:tcMar>
            <w:vAlign w:val="center"/>
          </w:tcPr>
          <w:p>
            <w:pPr>
              <w:jc w:val="left"/>
            </w:pPr>
            <w:r>
              <w:rPr>
                <w:b/>
                <w:bCs/>
                <w:color w:val="000000"/>
                <w:sz w:val="20"/>
                <w:szCs w:val="20"/>
              </w:rPr>
              <w:t xml:space="preserve">Applicable Regulatory Frameworks</w:t>
            </w:r>
          </w:p>
        </w:tc>
        <w:tc>
          <w:tcPr>
            <w:tcW w:type="dxa" w:w="6750"/>
            <w:tcMar>
              <w:top w:type="dxa" w:w="80"/>
              <w:left w:type="dxa" w:w="100"/>
              <w:bottom w:type="dxa" w:w="80"/>
              <w:right w:type="dxa" w:w="100"/>
            </w:tcMar>
            <w:vAlign w:val="center"/>
          </w:tcPr>
          <w:p>
            <w:pPr>
              <w:jc w:val="left"/>
            </w:pPr>
            <w:r>
              <w:rPr>
                <w:b w:val="false"/>
                <w:bCs w:val="false"/>
                <w:color w:val="000000"/>
                <w:sz w:val="20"/>
                <w:szCs w:val="20"/>
              </w:rPr>
              <w:t xml:space="preserve">GDPR, POPIA (South Africa), ISO/IEC 27701, PCI DSS</w:t>
            </w:r>
          </w:p>
        </w:tc>
      </w:tr>
      <w:tr>
        <w:tc>
          <w:tcPr>
            <w:tcW w:type="dxa" w:w="2600"/>
            <w:shd w:fill="F2F2F2" w:val="clear"/>
            <w:tcMar>
              <w:top w:type="dxa" w:w="80"/>
              <w:left w:type="dxa" w:w="100"/>
              <w:bottom w:type="dxa" w:w="80"/>
              <w:right w:type="dxa" w:w="100"/>
            </w:tcMar>
            <w:vAlign w:val="center"/>
          </w:tcPr>
          <w:p>
            <w:pPr>
              <w:jc w:val="left"/>
            </w:pPr>
            <w:r>
              <w:rPr>
                <w:b/>
                <w:bCs/>
                <w:color w:val="000000"/>
                <w:sz w:val="20"/>
                <w:szCs w:val="20"/>
              </w:rPr>
              <w:t xml:space="preserve">Questionnaire Issued / Returned</w:t>
            </w:r>
          </w:p>
        </w:tc>
        <w:tc>
          <w:tcPr>
            <w:tcW w:type="dxa" w:w="6750"/>
            <w:tcMar>
              <w:top w:type="dxa" w:w="80"/>
              <w:left w:type="dxa" w:w="100"/>
              <w:bottom w:type="dxa" w:w="80"/>
              <w:right w:type="dxa" w:w="100"/>
            </w:tcMar>
            <w:vAlign w:val="center"/>
          </w:tcPr>
          <w:p>
            <w:pPr>
              <w:jc w:val="left"/>
            </w:pPr>
            <w:r>
              <w:rPr>
                <w:b w:val="false"/>
                <w:bCs w:val="false"/>
                <w:color w:val="000000"/>
                <w:sz w:val="20"/>
                <w:szCs w:val="20"/>
              </w:rPr>
              <w:t xml:space="preserve">30 July 2026 / 12 August 2026</w:t>
            </w:r>
          </w:p>
        </w:tc>
      </w:tr>
    </w:tbl>
    <w:p>
      <w:r>
        <w:br w:type="page"/>
      </w:r>
    </w:p>
    <w:p>
      <w:pPr>
        <w:pStyle w:val="Heading1"/>
        <w:pBdr>
          <w:bottom w:val="single" w:color="1F3864" w:sz="6" w:space="4"/>
        </w:pBdr>
        <w:spacing w:after="160" w:before="320"/>
      </w:pPr>
      <w:r>
        <w:rPr>
          <w:b/>
          <w:bCs/>
          <w:color w:val="1F3864"/>
          <w:sz w:val="28"/>
          <w:szCs w:val="28"/>
        </w:rPr>
        <w:t xml:space="preserve">4. Assessment Results</w:t>
      </w:r>
    </w:p>
    <w:p>
      <w:pPr>
        <w:spacing w:after="160" w:line="276"/>
      </w:pPr>
      <w:r>
        <w:rPr>
          <w:sz w:val="21"/>
          <w:szCs w:val="21"/>
        </w:rPr>
        <w:t xml:space="preserve">Microsoft Azure achieved an overall weighted score of 89.2%, corresponding to an overall rating of Low Risk. All 76 questions were answered by the vendor; no domain fell below the Medium Risk band, though several domains scored below 90% and warrant follow-up as detailed in Section 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1900"/>
        <w:gridCol w:w="1850"/>
      </w:tblGrid>
      <w:tr>
        <w:trPr>
          <w:tblHeader/>
        </w:trPr>
        <w:tc>
          <w:tcPr>
            <w:tcW w:type="dxa" w:w="4200"/>
            <w:shd w:fill="1F3864" w:val="clear"/>
            <w:tcMar>
              <w:top w:type="dxa" w:w="80"/>
              <w:left w:type="dxa" w:w="100"/>
              <w:bottom w:type="dxa" w:w="80"/>
              <w:right w:type="dxa" w:w="100"/>
            </w:tcMar>
            <w:vAlign w:val="center"/>
          </w:tcPr>
          <w:p>
            <w:pPr>
              <w:jc w:val="left"/>
            </w:pPr>
            <w:r>
              <w:rPr>
                <w:b/>
                <w:bCs/>
                <w:color w:val="FFFFFF"/>
                <w:sz w:val="19"/>
                <w:szCs w:val="19"/>
              </w:rPr>
              <w:t xml:space="preserve">Risk Domain</w:t>
            </w:r>
          </w:p>
        </w:tc>
        <w:tc>
          <w:tcPr>
            <w:tcW w:type="dxa" w:w="1400"/>
            <w:shd w:fill="1F3864" w:val="clear"/>
            <w:tcMar>
              <w:top w:type="dxa" w:w="80"/>
              <w:left w:type="dxa" w:w="100"/>
              <w:bottom w:type="dxa" w:w="80"/>
              <w:right w:type="dxa" w:w="100"/>
            </w:tcMar>
            <w:vAlign w:val="center"/>
          </w:tcPr>
          <w:p>
            <w:pPr>
              <w:jc w:val="left"/>
            </w:pPr>
            <w:r>
              <w:rPr>
                <w:b/>
                <w:bCs/>
                <w:color w:val="FFFFFF"/>
                <w:sz w:val="19"/>
                <w:szCs w:val="19"/>
              </w:rPr>
              <w:t xml:space="preserve">Weight</w:t>
            </w:r>
          </w:p>
        </w:tc>
        <w:tc>
          <w:tcPr>
            <w:tcW w:type="dxa" w:w="1900"/>
            <w:shd w:fill="1F3864" w:val="clear"/>
            <w:tcMar>
              <w:top w:type="dxa" w:w="80"/>
              <w:left w:type="dxa" w:w="100"/>
              <w:bottom w:type="dxa" w:w="80"/>
              <w:right w:type="dxa" w:w="100"/>
            </w:tcMar>
            <w:vAlign w:val="center"/>
          </w:tcPr>
          <w:p>
            <w:pPr>
              <w:jc w:val="left"/>
            </w:pPr>
            <w:r>
              <w:rPr>
                <w:b/>
                <w:bCs/>
                <w:color w:val="FFFFFF"/>
                <w:sz w:val="19"/>
                <w:szCs w:val="19"/>
              </w:rPr>
              <w:t xml:space="preserve">Section Score</w:t>
            </w:r>
          </w:p>
        </w:tc>
        <w:tc>
          <w:tcPr>
            <w:tcW w:type="dxa" w:w="1850"/>
            <w:shd w:fill="1F3864" w:val="clear"/>
            <w:tcMar>
              <w:top w:type="dxa" w:w="80"/>
              <w:left w:type="dxa" w:w="100"/>
              <w:bottom w:type="dxa" w:w="80"/>
              <w:right w:type="dxa" w:w="100"/>
            </w:tcMar>
            <w:vAlign w:val="center"/>
          </w:tcPr>
          <w:p>
            <w:pPr>
              <w:jc w:val="left"/>
            </w:pPr>
            <w:r>
              <w:rPr>
                <w:b/>
                <w:bCs/>
                <w:color w:val="FFFFFF"/>
                <w:sz w:val="19"/>
                <w:szCs w:val="19"/>
              </w:rPr>
              <w:t xml:space="preserve">Weighted Contribution</w:t>
            </w:r>
          </w:p>
        </w:tc>
      </w:tr>
      <w:tr>
        <w:tc>
          <w:tcPr>
            <w:tcW w:type="dxa" w:w="4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S1 – Corporate Governance &amp; Certifications</w:t>
            </w:r>
          </w:p>
        </w:tc>
        <w:tc>
          <w:tcPr>
            <w:tcW w:type="dxa" w:w="14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5%</w:t>
            </w:r>
          </w:p>
        </w:tc>
        <w:tc>
          <w:tcPr>
            <w:tcW w:type="dxa" w:w="19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100%</w:t>
            </w:r>
          </w:p>
        </w:tc>
        <w:tc>
          <w:tcPr>
            <w:tcW w:type="dxa" w:w="185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5.0%</w:t>
            </w:r>
          </w:p>
        </w:tc>
      </w:tr>
      <w:tr>
        <w:tc>
          <w:tcPr>
            <w:tcW w:type="dxa" w:w="4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S2 – Data Privacy &amp; Regulatory Compliance</w:t>
            </w:r>
          </w:p>
        </w:tc>
        <w:tc>
          <w:tcPr>
            <w:tcW w:type="dxa" w:w="14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15%</w:t>
            </w:r>
          </w:p>
        </w:tc>
        <w:tc>
          <w:tcPr>
            <w:tcW w:type="dxa" w:w="19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87.5%</w:t>
            </w:r>
          </w:p>
        </w:tc>
        <w:tc>
          <w:tcPr>
            <w:tcW w:type="dxa" w:w="185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13.1%</w:t>
            </w:r>
          </w:p>
        </w:tc>
      </w:tr>
      <w:tr>
        <w:tc>
          <w:tcPr>
            <w:tcW w:type="dxa" w:w="4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S3 – Information Security Policy &amp; Governance</w:t>
            </w:r>
          </w:p>
        </w:tc>
        <w:tc>
          <w:tcPr>
            <w:tcW w:type="dxa" w:w="14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5%</w:t>
            </w:r>
          </w:p>
        </w:tc>
        <w:tc>
          <w:tcPr>
            <w:tcW w:type="dxa" w:w="19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100%</w:t>
            </w:r>
          </w:p>
        </w:tc>
        <w:tc>
          <w:tcPr>
            <w:tcW w:type="dxa" w:w="185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5.0%</w:t>
            </w:r>
          </w:p>
        </w:tc>
      </w:tr>
      <w:tr>
        <w:tc>
          <w:tcPr>
            <w:tcW w:type="dxa" w:w="4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S4 – Access Control &amp; Identity Management</w:t>
            </w:r>
          </w:p>
        </w:tc>
        <w:tc>
          <w:tcPr>
            <w:tcW w:type="dxa" w:w="14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10%</w:t>
            </w:r>
          </w:p>
        </w:tc>
        <w:tc>
          <w:tcPr>
            <w:tcW w:type="dxa" w:w="19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85.7%</w:t>
            </w:r>
          </w:p>
        </w:tc>
        <w:tc>
          <w:tcPr>
            <w:tcW w:type="dxa" w:w="185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8.6%</w:t>
            </w:r>
          </w:p>
        </w:tc>
      </w:tr>
      <w:tr>
        <w:tc>
          <w:tcPr>
            <w:tcW w:type="dxa" w:w="4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S5 – Data Protection &amp; Cryptography</w:t>
            </w:r>
          </w:p>
        </w:tc>
        <w:tc>
          <w:tcPr>
            <w:tcW w:type="dxa" w:w="14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12%</w:t>
            </w:r>
          </w:p>
        </w:tc>
        <w:tc>
          <w:tcPr>
            <w:tcW w:type="dxa" w:w="19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83.3%</w:t>
            </w:r>
          </w:p>
        </w:tc>
        <w:tc>
          <w:tcPr>
            <w:tcW w:type="dxa" w:w="185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10.0%</w:t>
            </w:r>
          </w:p>
        </w:tc>
      </w:tr>
      <w:tr>
        <w:tc>
          <w:tcPr>
            <w:tcW w:type="dxa" w:w="4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S6 – Network &amp; Application / API Security</w:t>
            </w:r>
          </w:p>
        </w:tc>
        <w:tc>
          <w:tcPr>
            <w:tcW w:type="dxa" w:w="14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10%</w:t>
            </w:r>
          </w:p>
        </w:tc>
        <w:tc>
          <w:tcPr>
            <w:tcW w:type="dxa" w:w="19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92.9%</w:t>
            </w:r>
          </w:p>
        </w:tc>
        <w:tc>
          <w:tcPr>
            <w:tcW w:type="dxa" w:w="185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9.3%</w:t>
            </w:r>
          </w:p>
        </w:tc>
      </w:tr>
      <w:tr>
        <w:tc>
          <w:tcPr>
            <w:tcW w:type="dxa" w:w="4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S7 – Endpoint, Cloud &amp; Infrastructure Security</w:t>
            </w:r>
          </w:p>
        </w:tc>
        <w:tc>
          <w:tcPr>
            <w:tcW w:type="dxa" w:w="14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8%</w:t>
            </w:r>
          </w:p>
        </w:tc>
        <w:tc>
          <w:tcPr>
            <w:tcW w:type="dxa" w:w="19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100%</w:t>
            </w:r>
          </w:p>
        </w:tc>
        <w:tc>
          <w:tcPr>
            <w:tcW w:type="dxa" w:w="185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8.0%</w:t>
            </w:r>
          </w:p>
        </w:tc>
      </w:tr>
      <w:tr>
        <w:tc>
          <w:tcPr>
            <w:tcW w:type="dxa" w:w="4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S8 – Physical &amp; Environmental Security</w:t>
            </w:r>
          </w:p>
        </w:tc>
        <w:tc>
          <w:tcPr>
            <w:tcW w:type="dxa" w:w="14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6%</w:t>
            </w:r>
          </w:p>
        </w:tc>
        <w:tc>
          <w:tcPr>
            <w:tcW w:type="dxa" w:w="19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100%</w:t>
            </w:r>
          </w:p>
        </w:tc>
        <w:tc>
          <w:tcPr>
            <w:tcW w:type="dxa" w:w="185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6.0%</w:t>
            </w:r>
          </w:p>
        </w:tc>
      </w:tr>
      <w:tr>
        <w:tc>
          <w:tcPr>
            <w:tcW w:type="dxa" w:w="4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S9 – Business Continuity &amp; Disaster Recovery</w:t>
            </w:r>
          </w:p>
        </w:tc>
        <w:tc>
          <w:tcPr>
            <w:tcW w:type="dxa" w:w="14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7%</w:t>
            </w:r>
          </w:p>
        </w:tc>
        <w:tc>
          <w:tcPr>
            <w:tcW w:type="dxa" w:w="19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83.3%</w:t>
            </w:r>
          </w:p>
        </w:tc>
        <w:tc>
          <w:tcPr>
            <w:tcW w:type="dxa" w:w="185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5.8%</w:t>
            </w:r>
          </w:p>
        </w:tc>
      </w:tr>
      <w:tr>
        <w:tc>
          <w:tcPr>
            <w:tcW w:type="dxa" w:w="4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S10 – Incident Management &amp; Breach Notification</w:t>
            </w:r>
          </w:p>
        </w:tc>
        <w:tc>
          <w:tcPr>
            <w:tcW w:type="dxa" w:w="14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12%</w:t>
            </w:r>
          </w:p>
        </w:tc>
        <w:tc>
          <w:tcPr>
            <w:tcW w:type="dxa" w:w="19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78.6%</w:t>
            </w:r>
          </w:p>
        </w:tc>
        <w:tc>
          <w:tcPr>
            <w:tcW w:type="dxa" w:w="185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9.4%</w:t>
            </w:r>
          </w:p>
        </w:tc>
      </w:tr>
      <w:tr>
        <w:tc>
          <w:tcPr>
            <w:tcW w:type="dxa" w:w="4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S11 – Subcontractor / Fourth-Party Risk Management</w:t>
            </w:r>
          </w:p>
        </w:tc>
        <w:tc>
          <w:tcPr>
            <w:tcW w:type="dxa" w:w="14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6%</w:t>
            </w:r>
          </w:p>
        </w:tc>
        <w:tc>
          <w:tcPr>
            <w:tcW w:type="dxa" w:w="19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90%</w:t>
            </w:r>
          </w:p>
        </w:tc>
        <w:tc>
          <w:tcPr>
            <w:tcW w:type="dxa" w:w="185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5.4%</w:t>
            </w:r>
          </w:p>
        </w:tc>
      </w:tr>
      <w:tr>
        <w:tc>
          <w:tcPr>
            <w:tcW w:type="dxa" w:w="4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S12 – Right to Audit, Insurance &amp; Compliance Monitoring</w:t>
            </w:r>
          </w:p>
        </w:tc>
        <w:tc>
          <w:tcPr>
            <w:tcW w:type="dxa" w:w="14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4%</w:t>
            </w:r>
          </w:p>
        </w:tc>
        <w:tc>
          <w:tcPr>
            <w:tcW w:type="dxa" w:w="19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90%</w:t>
            </w:r>
          </w:p>
        </w:tc>
        <w:tc>
          <w:tcPr>
            <w:tcW w:type="dxa" w:w="185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3.6%</w:t>
            </w:r>
          </w:p>
        </w:tc>
      </w:tr>
      <w:tr>
        <w:tc>
          <w:tcPr>
            <w:tcW w:type="dxa" w:w="4200"/>
            <w:shd w:fill="1F3864" w:val="clear"/>
            <w:tcMar>
              <w:top w:type="dxa" w:w="80"/>
              <w:left w:type="dxa" w:w="100"/>
              <w:bottom w:type="dxa" w:w="80"/>
              <w:right w:type="dxa" w:w="100"/>
            </w:tcMar>
            <w:vAlign w:val="center"/>
          </w:tcPr>
          <w:p>
            <w:pPr>
              <w:jc w:val="left"/>
            </w:pPr>
            <w:r>
              <w:rPr>
                <w:b/>
                <w:bCs/>
                <w:color w:val="FFFFFF"/>
                <w:sz w:val="20"/>
                <w:szCs w:val="20"/>
              </w:rPr>
              <w:t xml:space="preserve">OVERALL VENDOR RISK SCORE</w:t>
            </w:r>
          </w:p>
        </w:tc>
        <w:tc>
          <w:tcPr>
            <w:tcW w:type="dxa" w:w="1400"/>
            <w:shd w:fill="1F3864" w:val="clear"/>
            <w:tcMar>
              <w:top w:type="dxa" w:w="80"/>
              <w:left w:type="dxa" w:w="100"/>
              <w:bottom w:type="dxa" w:w="80"/>
              <w:right w:type="dxa" w:w="100"/>
            </w:tcMar>
            <w:vAlign w:val="center"/>
          </w:tcPr>
          <w:p>
            <w:pPr>
              <w:jc w:val="center"/>
            </w:pPr>
            <w:r>
              <w:rPr>
                <w:b/>
                <w:bCs/>
                <w:color w:val="FFFFFF"/>
                <w:sz w:val="20"/>
                <w:szCs w:val="20"/>
              </w:rPr>
              <w:t xml:space="preserve">100%</w:t>
            </w:r>
          </w:p>
        </w:tc>
        <w:tc>
          <w:tcPr>
            <w:tcW w:type="dxa" w:w="1900"/>
            <w:shd w:fill="1F3864" w:val="clear"/>
            <w:tcMar>
              <w:top w:type="dxa" w:w="80"/>
              <w:left w:type="dxa" w:w="100"/>
              <w:bottom w:type="dxa" w:w="80"/>
              <w:right w:type="dxa" w:w="100"/>
            </w:tcMar>
            <w:vAlign w:val="center"/>
          </w:tcPr>
          <w:p>
            <w:pPr>
              <w:jc w:val="center"/>
            </w:pPr>
            <w:r>
              <w:rPr>
                <w:b/>
                <w:bCs/>
                <w:color w:val="FFFFFF"/>
                <w:sz w:val="20"/>
                <w:szCs w:val="20"/>
              </w:rPr>
              <w:t xml:space="preserve">—</w:t>
            </w:r>
          </w:p>
        </w:tc>
        <w:tc>
          <w:tcPr>
            <w:tcW w:type="dxa" w:w="1850"/>
            <w:shd w:fill="1F3864" w:val="clear"/>
            <w:tcMar>
              <w:top w:type="dxa" w:w="80"/>
              <w:left w:type="dxa" w:w="100"/>
              <w:bottom w:type="dxa" w:w="80"/>
              <w:right w:type="dxa" w:w="100"/>
            </w:tcMar>
            <w:vAlign w:val="center"/>
          </w:tcPr>
          <w:p>
            <w:pPr>
              <w:jc w:val="center"/>
            </w:pPr>
            <w:r>
              <w:rPr>
                <w:b/>
                <w:bCs/>
                <w:color w:val="FFFFFF"/>
                <w:sz w:val="20"/>
                <w:szCs w:val="20"/>
              </w:rPr>
              <w:t xml:space="preserve">89.2%</w:t>
            </w:r>
          </w:p>
        </w:tc>
      </w:tr>
    </w:tbl>
    <w:p>
      <w:pPr>
        <w:spacing w:after="160" w:before="200"/>
      </w:pPr>
      <w:r>
        <w:rPr>
          <w:b/>
          <w:bCs/>
          <w:sz w:val="22"/>
          <w:szCs w:val="22"/>
        </w:rPr>
        <w:t xml:space="preserve">Overall Rating: </w:t>
      </w:r>
      <w:r>
        <w:rPr>
          <w:b/>
          <w:bCs/>
          <w:color w:val="2E7D32"/>
          <w:sz w:val="22"/>
          <w:szCs w:val="22"/>
        </w:rPr>
        <w:t xml:space="preserve">Low Risk (89.2%)</w:t>
      </w:r>
    </w:p>
    <w:p>
      <w:pPr>
        <w:spacing w:after="160" w:line="276"/>
      </w:pPr>
      <w:r>
        <w:rPr>
          <w:sz w:val="21"/>
          <w:szCs w:val="21"/>
        </w:rPr>
        <w:t xml:space="preserve">The lowest-scoring domains were S10 – Incident Management &amp; Breach Notification (78.6%), S2 – Data Privacy &amp; Regulatory Compliance (87.5%) and S9 – Business Continuity &amp; Disaster Recovery (83.3%). These are addressed as key risks below.</w:t>
      </w:r>
    </w:p>
    <w:p>
      <w:pPr>
        <w:pStyle w:val="Heading1"/>
        <w:pBdr>
          <w:bottom w:val="single" w:color="1F3864" w:sz="6" w:space="4"/>
        </w:pBdr>
        <w:spacing w:after="160" w:before="320"/>
      </w:pPr>
      <w:r>
        <w:rPr>
          <w:b/>
          <w:bCs/>
          <w:color w:val="1F3864"/>
          <w:sz w:val="28"/>
          <w:szCs w:val="28"/>
        </w:rPr>
        <w:t xml:space="preserve">5. Key Risks Identified</w:t>
      </w:r>
    </w:p>
    <w:p>
      <w:pPr>
        <w:spacing w:after="160" w:line="276"/>
      </w:pPr>
      <w:r>
        <w:rPr>
          <w:sz w:val="21"/>
          <w:szCs w:val="21"/>
        </w:rPr>
        <w:t xml:space="preserve">The following risks were identified from Partial, No, or qualified responses in the completed questionnaire. Each is cross-referenced to the relevant questionnaire domain and rated for potential impact on Falcon Freight Solutions.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1750"/>
        <w:gridCol w:w="3750"/>
        <w:gridCol w:w="2950"/>
      </w:tblGrid>
      <w:tr>
        <w:trPr>
          <w:tblHeader/>
        </w:trPr>
        <w:tc>
          <w:tcPr>
            <w:tcW w:type="dxa" w:w="900"/>
            <w:shd w:fill="1F3864"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1750"/>
            <w:shd w:fill="1F3864" w:val="clear"/>
            <w:tcMar>
              <w:top w:type="dxa" w:w="80"/>
              <w:left w:type="dxa" w:w="100"/>
              <w:bottom w:type="dxa" w:w="80"/>
              <w:right w:type="dxa" w:w="100"/>
            </w:tcMar>
            <w:vAlign w:val="center"/>
          </w:tcPr>
          <w:p>
            <w:pPr>
              <w:jc w:val="left"/>
            </w:pPr>
            <w:r>
              <w:rPr>
                <w:b/>
                <w:bCs/>
                <w:color w:val="FFFFFF"/>
                <w:sz w:val="19"/>
                <w:szCs w:val="19"/>
              </w:rPr>
              <w:t xml:space="preserve">Domain</w:t>
            </w:r>
          </w:p>
        </w:tc>
        <w:tc>
          <w:tcPr>
            <w:tcW w:type="dxa" w:w="3750"/>
            <w:shd w:fill="1F3864" w:val="clear"/>
            <w:tcMar>
              <w:top w:type="dxa" w:w="80"/>
              <w:left w:type="dxa" w:w="100"/>
              <w:bottom w:type="dxa" w:w="80"/>
              <w:right w:type="dxa" w:w="100"/>
            </w:tcMar>
            <w:vAlign w:val="center"/>
          </w:tcPr>
          <w:p>
            <w:pPr>
              <w:jc w:val="left"/>
            </w:pPr>
            <w:r>
              <w:rPr>
                <w:b/>
                <w:bCs/>
                <w:color w:val="FFFFFF"/>
                <w:sz w:val="19"/>
                <w:szCs w:val="19"/>
              </w:rPr>
              <w:t xml:space="preserve">Risk Description</w:t>
            </w:r>
          </w:p>
        </w:tc>
        <w:tc>
          <w:tcPr>
            <w:tcW w:type="dxa" w:w="2950"/>
            <w:shd w:fill="1F3864" w:val="clear"/>
            <w:tcMar>
              <w:top w:type="dxa" w:w="80"/>
              <w:left w:type="dxa" w:w="100"/>
              <w:bottom w:type="dxa" w:w="80"/>
              <w:right w:type="dxa" w:w="100"/>
            </w:tcMar>
            <w:vAlign w:val="center"/>
          </w:tcPr>
          <w:p>
            <w:pPr>
              <w:jc w:val="left"/>
            </w:pPr>
            <w:r>
              <w:rPr>
                <w:b/>
                <w:bCs/>
                <w:color w:val="FFFFFF"/>
                <w:sz w:val="19"/>
                <w:szCs w:val="19"/>
              </w:rPr>
              <w:t xml:space="preserve">Potential Impact on Falcon Freight Solutions</w:t>
            </w:r>
          </w:p>
        </w:tc>
      </w:tr>
      <w:tr>
        <w:tc>
          <w:tcPr>
            <w:tcW w:type="dxa" w:w="9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R1</w:t>
            </w:r>
          </w:p>
        </w:tc>
        <w:tc>
          <w:tcPr>
            <w:tcW w:type="dxa" w:w="175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Access Control (S4)</w:t>
            </w:r>
          </w:p>
        </w:tc>
        <w:tc>
          <w:tcPr>
            <w:tcW w:type="dxa" w:w="375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MFA enforcement on Falcon Freight Solutions' own Azure AD/Entra ID tenant admin and user accounts is configured by FFS and has not been confirmed as fully enforced.</w:t>
            </w:r>
          </w:p>
        </w:tc>
        <w:tc>
          <w:tcPr>
            <w:tcW w:type="dxa" w:w="295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Unauthorized account access could expose shipment and customer data hosted on the tracking platform.</w:t>
            </w:r>
          </w:p>
        </w:tc>
      </w:tr>
      <w:tr>
        <w:tc>
          <w:tcPr>
            <w:tcW w:type="dxa" w:w="9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R2</w:t>
            </w:r>
          </w:p>
        </w:tc>
        <w:tc>
          <w:tcPr>
            <w:tcW w:type="dxa" w:w="175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Data Protection (S5)</w:t>
            </w:r>
          </w:p>
        </w:tc>
        <w:tc>
          <w:tcPr>
            <w:tcW w:type="dxa" w:w="375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Data masking/tokenization and Purview DLP tooling are available on Azure but not yet enabled for FFS's data estate.</w:t>
            </w:r>
          </w:p>
        </w:tc>
        <w:tc>
          <w:tcPr>
            <w:tcW w:type="dxa" w:w="295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Increases risk of sensitive PII and geolocation data exposure in non-production environments or via exfiltration.</w:t>
            </w:r>
          </w:p>
        </w:tc>
      </w:tr>
      <w:tr>
        <w:tc>
          <w:tcPr>
            <w:tcW w:type="dxa" w:w="9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R3</w:t>
            </w:r>
          </w:p>
        </w:tc>
        <w:tc>
          <w:tcPr>
            <w:tcW w:type="dxa" w:w="175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Data Privacy (S2)</w:t>
            </w:r>
          </w:p>
        </w:tc>
        <w:tc>
          <w:tcPr>
            <w:tcW w:type="dxa" w:w="375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No bespoke Data Protection Impact Assessment (DPIA) has been completed for the FFS tracking-platform deployment; retention schedule not yet configured by FFS.</w:t>
            </w:r>
          </w:p>
        </w:tc>
        <w:tc>
          <w:tcPr>
            <w:tcW w:type="dxa" w:w="295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Gap in demonstrable GDPR/POPIA compliance and unclear data retention/deletion practice.</w:t>
            </w:r>
          </w:p>
        </w:tc>
      </w:tr>
      <w:tr>
        <w:tc>
          <w:tcPr>
            <w:tcW w:type="dxa" w:w="9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R4</w:t>
            </w:r>
          </w:p>
        </w:tc>
        <w:tc>
          <w:tcPr>
            <w:tcW w:type="dxa" w:w="175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Incident Management (S10)</w:t>
            </w:r>
          </w:p>
        </w:tc>
        <w:tc>
          <w:tcPr>
            <w:tcW w:type="dxa" w:w="375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Microsoft's contractual breach-notification commitment is "without undue delay" rather than a firm 24-hour SLA.</w:t>
            </w:r>
          </w:p>
        </w:tc>
        <w:tc>
          <w:tcPr>
            <w:tcW w:type="dxa" w:w="295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Could delay FFS's ability to meet its own 72-hour POPIA/GDPR regulatory notification obligations.</w:t>
            </w:r>
          </w:p>
        </w:tc>
      </w:tr>
      <w:tr>
        <w:tc>
          <w:tcPr>
            <w:tcW w:type="dxa" w:w="9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R5</w:t>
            </w:r>
          </w:p>
        </w:tc>
        <w:tc>
          <w:tcPr>
            <w:tcW w:type="dxa" w:w="175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Subcontractor Risk (S11)</w:t>
            </w:r>
          </w:p>
        </w:tc>
        <w:tc>
          <w:tcPr>
            <w:tcW w:type="dxa" w:w="375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Falcon Freight Solutions is not individually notified in advance of subprocessor changes; must monitor Microsoft's published list.</w:t>
            </w:r>
          </w:p>
        </w:tc>
        <w:tc>
          <w:tcPr>
            <w:tcW w:type="dxa" w:w="295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Risk of FFS being unaware of new fourth parties gaining indirect access to its data.</w:t>
            </w:r>
          </w:p>
        </w:tc>
      </w:tr>
      <w:tr>
        <w:tc>
          <w:tcPr>
            <w:tcW w:type="dxa" w:w="9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R6</w:t>
            </w:r>
          </w:p>
        </w:tc>
        <w:tc>
          <w:tcPr>
            <w:tcW w:type="dxa" w:w="175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Right to Audit (S12)</w:t>
            </w:r>
          </w:p>
        </w:tc>
        <w:tc>
          <w:tcPr>
            <w:tcW w:type="dxa" w:w="375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Microsoft provides attestations (SOC 2, ISO certificates) in lieu of direct customer audit rights under standard terms.</w:t>
            </w:r>
          </w:p>
        </w:tc>
        <w:tc>
          <w:tcPr>
            <w:tcW w:type="dxa" w:w="295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Limits FFS's ability to independently verify controls beyond published reports.</w:t>
            </w:r>
          </w:p>
        </w:tc>
      </w:tr>
      <w:tr>
        <w:tc>
          <w:tcPr>
            <w:tcW w:type="dxa" w:w="9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R7</w:t>
            </w:r>
          </w:p>
        </w:tc>
        <w:tc>
          <w:tcPr>
            <w:tcW w:type="dxa" w:w="175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Network Security (S6)</w:t>
            </w:r>
          </w:p>
        </w:tc>
        <w:tc>
          <w:tcPr>
            <w:tcW w:type="dxa" w:w="375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API key/credential rotation on the FFS integration has not been confirmed as enabled on the recommended 90-day schedule.</w:t>
            </w:r>
          </w:p>
        </w:tc>
        <w:tc>
          <w:tcPr>
            <w:tcW w:type="dxa" w:w="295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Stale credentials increase the window of exposure if a key is compromised.</w:t>
            </w:r>
          </w:p>
        </w:tc>
      </w:tr>
    </w:tbl>
    <w:p>
      <w:r>
        <w:br w:type="page"/>
      </w:r>
    </w:p>
    <w:p>
      <w:pPr>
        <w:pStyle w:val="Heading1"/>
        <w:pBdr>
          <w:bottom w:val="single" w:color="1F3864" w:sz="6" w:space="4"/>
        </w:pBdr>
        <w:spacing w:after="160" w:before="320"/>
      </w:pPr>
      <w:r>
        <w:rPr>
          <w:b/>
          <w:bCs/>
          <w:color w:val="1F3864"/>
          <w:sz w:val="28"/>
          <w:szCs w:val="28"/>
        </w:rPr>
        <w:t xml:space="preserve">6. Recommended Mitigation Measures</w:t>
      </w:r>
    </w:p>
    <w:p>
      <w:pPr>
        <w:spacing w:after="160" w:line="276"/>
      </w:pPr>
      <w:r>
        <w:rPr>
          <w:sz w:val="21"/>
          <w:szCs w:val="21"/>
        </w:rPr>
        <w:t xml:space="preserve">The following mitigation measures are recommended to close the gaps identified in Section 5. Priorities reflect the sensitivity of the data involved (shipment records, customer PII, and geolocation data processed via the tracking platform) and the vendor's High inherent-risk classification.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1700"/>
        <w:gridCol w:w="1600"/>
        <w:gridCol w:w="1550"/>
      </w:tblGrid>
      <w:tr>
        <w:trPr>
          <w:tblHeader/>
        </w:trPr>
        <w:tc>
          <w:tcPr>
            <w:tcW w:type="dxa" w:w="900"/>
            <w:shd w:fill="1F3864" w:val="clear"/>
            <w:tcMar>
              <w:top w:type="dxa" w:w="80"/>
              <w:left w:type="dxa" w:w="100"/>
              <w:bottom w:type="dxa" w:w="80"/>
              <w:right w:type="dxa" w:w="100"/>
            </w:tcMar>
            <w:vAlign w:val="center"/>
          </w:tcPr>
          <w:p>
            <w:pPr>
              <w:jc w:val="left"/>
            </w:pPr>
            <w:r>
              <w:rPr>
                <w:b/>
                <w:bCs/>
                <w:color w:val="FFFFFF"/>
                <w:sz w:val="19"/>
                <w:szCs w:val="19"/>
              </w:rPr>
              <w:t xml:space="preserve">Risk</w:t>
            </w:r>
          </w:p>
        </w:tc>
        <w:tc>
          <w:tcPr>
            <w:tcW w:type="dxa" w:w="3600"/>
            <w:shd w:fill="1F3864" w:val="clear"/>
            <w:tcMar>
              <w:top w:type="dxa" w:w="80"/>
              <w:left w:type="dxa" w:w="100"/>
              <w:bottom w:type="dxa" w:w="80"/>
              <w:right w:type="dxa" w:w="100"/>
            </w:tcMar>
            <w:vAlign w:val="center"/>
          </w:tcPr>
          <w:p>
            <w:pPr>
              <w:jc w:val="left"/>
            </w:pPr>
            <w:r>
              <w:rPr>
                <w:b/>
                <w:bCs/>
                <w:color w:val="FFFFFF"/>
                <w:sz w:val="19"/>
                <w:szCs w:val="19"/>
              </w:rPr>
              <w:t xml:space="preserve">Recommended Mitigation Measure</w:t>
            </w:r>
          </w:p>
        </w:tc>
        <w:tc>
          <w:tcPr>
            <w:tcW w:type="dxa" w:w="1700"/>
            <w:shd w:fill="1F3864" w:val="clear"/>
            <w:tcMar>
              <w:top w:type="dxa" w:w="80"/>
              <w:left w:type="dxa" w:w="100"/>
              <w:bottom w:type="dxa" w:w="80"/>
              <w:right w:type="dxa" w:w="100"/>
            </w:tcMar>
            <w:vAlign w:val="center"/>
          </w:tcPr>
          <w:p>
            <w:pPr>
              <w:jc w:val="left"/>
            </w:pPr>
            <w:r>
              <w:rPr>
                <w:b/>
                <w:bCs/>
                <w:color w:val="FFFFFF"/>
                <w:sz w:val="19"/>
                <w:szCs w:val="19"/>
              </w:rPr>
              <w:t xml:space="preserve">Owner</w:t>
            </w:r>
          </w:p>
        </w:tc>
        <w:tc>
          <w:tcPr>
            <w:tcW w:type="dxa" w:w="1600"/>
            <w:shd w:fill="1F3864" w:val="clear"/>
            <w:tcMar>
              <w:top w:type="dxa" w:w="80"/>
              <w:left w:type="dxa" w:w="100"/>
              <w:bottom w:type="dxa" w:w="80"/>
              <w:right w:type="dxa" w:w="100"/>
            </w:tcMar>
            <w:vAlign w:val="center"/>
          </w:tcPr>
          <w:p>
            <w:pPr>
              <w:jc w:val="left"/>
            </w:pPr>
            <w:r>
              <w:rPr>
                <w:b/>
                <w:bCs/>
                <w:color w:val="FFFFFF"/>
                <w:sz w:val="19"/>
                <w:szCs w:val="19"/>
              </w:rPr>
              <w:t xml:space="preserve">Priority</w:t>
            </w:r>
          </w:p>
        </w:tc>
        <w:tc>
          <w:tcPr>
            <w:tcW w:type="dxa" w:w="1550"/>
            <w:shd w:fill="1F3864" w:val="clear"/>
            <w:tcMar>
              <w:top w:type="dxa" w:w="80"/>
              <w:left w:type="dxa" w:w="100"/>
              <w:bottom w:type="dxa" w:w="80"/>
              <w:right w:type="dxa" w:w="100"/>
            </w:tcMar>
            <w:vAlign w:val="center"/>
          </w:tcPr>
          <w:p>
            <w:pPr>
              <w:jc w:val="left"/>
            </w:pPr>
            <w:r>
              <w:rPr>
                <w:b/>
                <w:bCs/>
                <w:color w:val="FFFFFF"/>
                <w:sz w:val="19"/>
                <w:szCs w:val="19"/>
              </w:rPr>
              <w:t xml:space="preserve">Target Timeframe</w:t>
            </w:r>
          </w:p>
        </w:tc>
      </w:tr>
      <w:tr>
        <w:tc>
          <w:tcPr>
            <w:tcW w:type="dxa" w:w="9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R1</w:t>
            </w:r>
          </w:p>
        </w:tc>
        <w:tc>
          <w:tcPr>
            <w:tcW w:type="dxa" w:w="3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Enforce Conditional Access MFA for all FFS Azure AD/Entra ID admin and privileged accounts; review quarterly.</w:t>
            </w:r>
          </w:p>
        </w:tc>
        <w:tc>
          <w:tcPr>
            <w:tcW w:type="dxa" w:w="17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Director of IT &amp; Security</w:t>
            </w:r>
          </w:p>
        </w:tc>
        <w:tc>
          <w:tcPr>
            <w:tcW w:type="dxa" w:w="1600"/>
            <w:shd w:fill="C0392B" w:val="clear"/>
            <w:tcMar>
              <w:top w:type="dxa" w:w="80"/>
              <w:left w:type="dxa" w:w="100"/>
              <w:bottom w:type="dxa" w:w="80"/>
              <w:right w:type="dxa" w:w="100"/>
            </w:tcMar>
            <w:vAlign w:val="center"/>
          </w:tcPr>
          <w:p>
            <w:pPr>
              <w:jc w:val="center"/>
            </w:pPr>
            <w:r>
              <w:rPr>
                <w:b/>
                <w:bCs/>
                <w:color w:val="FFFFFF"/>
                <w:sz w:val="20"/>
                <w:szCs w:val="20"/>
              </w:rPr>
              <w:t xml:space="preserve">High</w:t>
            </w:r>
          </w:p>
        </w:tc>
        <w:tc>
          <w:tcPr>
            <w:tcW w:type="dxa" w:w="155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30 days</w:t>
            </w:r>
          </w:p>
        </w:tc>
      </w:tr>
      <w:tr>
        <w:tc>
          <w:tcPr>
            <w:tcW w:type="dxa" w:w="9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R2</w:t>
            </w:r>
          </w:p>
        </w:tc>
        <w:tc>
          <w:tcPr>
            <w:tcW w:type="dxa" w:w="3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License and configure Microsoft Purview DLP and Dynamic Data Masking for shipment/customer PII data stores.</w:t>
            </w:r>
          </w:p>
        </w:tc>
        <w:tc>
          <w:tcPr>
            <w:tcW w:type="dxa" w:w="17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Cloud Security Architect</w:t>
            </w:r>
          </w:p>
        </w:tc>
        <w:tc>
          <w:tcPr>
            <w:tcW w:type="dxa" w:w="1600"/>
            <w:shd w:fill="C0392B" w:val="clear"/>
            <w:tcMar>
              <w:top w:type="dxa" w:w="80"/>
              <w:left w:type="dxa" w:w="100"/>
              <w:bottom w:type="dxa" w:w="80"/>
              <w:right w:type="dxa" w:w="100"/>
            </w:tcMar>
            <w:vAlign w:val="center"/>
          </w:tcPr>
          <w:p>
            <w:pPr>
              <w:jc w:val="center"/>
            </w:pPr>
            <w:r>
              <w:rPr>
                <w:b/>
                <w:bCs/>
                <w:color w:val="FFFFFF"/>
                <w:sz w:val="20"/>
                <w:szCs w:val="20"/>
              </w:rPr>
              <w:t xml:space="preserve">High</w:t>
            </w:r>
          </w:p>
        </w:tc>
        <w:tc>
          <w:tcPr>
            <w:tcW w:type="dxa" w:w="155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60 days</w:t>
            </w:r>
          </w:p>
        </w:tc>
      </w:tr>
      <w:tr>
        <w:tc>
          <w:tcPr>
            <w:tcW w:type="dxa" w:w="9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R3</w:t>
            </w:r>
          </w:p>
        </w:tc>
        <w:tc>
          <w:tcPr>
            <w:tcW w:type="dxa" w:w="3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Complete a formal DPIA for the tracking platform using Microsoft's supporting evidence; define and document a data retention/deletion schedule.</w:t>
            </w:r>
          </w:p>
        </w:tc>
        <w:tc>
          <w:tcPr>
            <w:tcW w:type="dxa" w:w="17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Head of Legal &amp; Compliance</w:t>
            </w:r>
          </w:p>
        </w:tc>
        <w:tc>
          <w:tcPr>
            <w:tcW w:type="dxa" w:w="1600"/>
            <w:shd w:fill="C0392B" w:val="clear"/>
            <w:tcMar>
              <w:top w:type="dxa" w:w="80"/>
              <w:left w:type="dxa" w:w="100"/>
              <w:bottom w:type="dxa" w:w="80"/>
              <w:right w:type="dxa" w:w="100"/>
            </w:tcMar>
            <w:vAlign w:val="center"/>
          </w:tcPr>
          <w:p>
            <w:pPr>
              <w:jc w:val="center"/>
            </w:pPr>
            <w:r>
              <w:rPr>
                <w:b/>
                <w:bCs/>
                <w:color w:val="FFFFFF"/>
                <w:sz w:val="20"/>
                <w:szCs w:val="20"/>
              </w:rPr>
              <w:t xml:space="preserve">High</w:t>
            </w:r>
          </w:p>
        </w:tc>
        <w:tc>
          <w:tcPr>
            <w:tcW w:type="dxa" w:w="155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60 days</w:t>
            </w:r>
          </w:p>
        </w:tc>
      </w:tr>
      <w:tr>
        <w:tc>
          <w:tcPr>
            <w:tcW w:type="dxa" w:w="9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R4</w:t>
            </w:r>
          </w:p>
        </w:tc>
        <w:tc>
          <w:tcPr>
            <w:tcW w:type="dxa" w:w="3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Negotiate a contractual 24-hour breach-notification addendum with Microsoft as part of the next Enterprise Agreement renewal.</w:t>
            </w:r>
          </w:p>
        </w:tc>
        <w:tc>
          <w:tcPr>
            <w:tcW w:type="dxa" w:w="17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Head of Legal &amp; Compliance</w:t>
            </w:r>
          </w:p>
        </w:tc>
        <w:tc>
          <w:tcPr>
            <w:tcW w:type="dxa" w:w="1600"/>
            <w:shd w:fill="B7862C" w:val="clear"/>
            <w:tcMar>
              <w:top w:type="dxa" w:w="80"/>
              <w:left w:type="dxa" w:w="100"/>
              <w:bottom w:type="dxa" w:w="80"/>
              <w:right w:type="dxa" w:w="100"/>
            </w:tcMar>
            <w:vAlign w:val="center"/>
          </w:tcPr>
          <w:p>
            <w:pPr>
              <w:jc w:val="center"/>
            </w:pPr>
            <w:r>
              <w:rPr>
                <w:b/>
                <w:bCs/>
                <w:color w:val="FFFFFF"/>
                <w:sz w:val="20"/>
                <w:szCs w:val="20"/>
              </w:rPr>
              <w:t xml:space="preserve">Medium</w:t>
            </w:r>
          </w:p>
        </w:tc>
        <w:tc>
          <w:tcPr>
            <w:tcW w:type="dxa" w:w="155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Next renewal cycle</w:t>
            </w:r>
          </w:p>
        </w:tc>
      </w:tr>
      <w:tr>
        <w:tc>
          <w:tcPr>
            <w:tcW w:type="dxa" w:w="9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R5</w:t>
            </w:r>
          </w:p>
        </w:tc>
        <w:tc>
          <w:tcPr>
            <w:tcW w:type="dxa" w:w="3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Subscribe to Microsoft's Subprocessor List update notifications and assign an owner to review changes monthly.</w:t>
            </w:r>
          </w:p>
        </w:tc>
        <w:tc>
          <w:tcPr>
            <w:tcW w:type="dxa" w:w="17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Cloud Security Architect</w:t>
            </w:r>
          </w:p>
        </w:tc>
        <w:tc>
          <w:tcPr>
            <w:tcW w:type="dxa" w:w="1600"/>
            <w:shd w:fill="B7862C" w:val="clear"/>
            <w:tcMar>
              <w:top w:type="dxa" w:w="80"/>
              <w:left w:type="dxa" w:w="100"/>
              <w:bottom w:type="dxa" w:w="80"/>
              <w:right w:type="dxa" w:w="100"/>
            </w:tcMar>
            <w:vAlign w:val="center"/>
          </w:tcPr>
          <w:p>
            <w:pPr>
              <w:jc w:val="center"/>
            </w:pPr>
            <w:r>
              <w:rPr>
                <w:b/>
                <w:bCs/>
                <w:color w:val="FFFFFF"/>
                <w:sz w:val="20"/>
                <w:szCs w:val="20"/>
              </w:rPr>
              <w:t xml:space="preserve">Medium</w:t>
            </w:r>
          </w:p>
        </w:tc>
        <w:tc>
          <w:tcPr>
            <w:tcW w:type="dxa" w:w="155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30 days</w:t>
            </w:r>
          </w:p>
        </w:tc>
      </w:tr>
      <w:tr>
        <w:tc>
          <w:tcPr>
            <w:tcW w:type="dxa" w:w="9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R6</w:t>
            </w:r>
          </w:p>
        </w:tc>
        <w:tc>
          <w:tcPr>
            <w:tcW w:type="dxa" w:w="3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Request enhanced audit rights (or a dedicated compliance briefing) be added to the next contract renewal; rely on SOC 2/ISO reports in the interim.</w:t>
            </w:r>
          </w:p>
        </w:tc>
        <w:tc>
          <w:tcPr>
            <w:tcW w:type="dxa" w:w="17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Director of IT &amp; Security</w:t>
            </w:r>
          </w:p>
        </w:tc>
        <w:tc>
          <w:tcPr>
            <w:tcW w:type="dxa" w:w="1600"/>
            <w:shd w:fill="2E7D32" w:val="clear"/>
            <w:tcMar>
              <w:top w:type="dxa" w:w="80"/>
              <w:left w:type="dxa" w:w="100"/>
              <w:bottom w:type="dxa" w:w="80"/>
              <w:right w:type="dxa" w:w="100"/>
            </w:tcMar>
            <w:vAlign w:val="center"/>
          </w:tcPr>
          <w:p>
            <w:pPr>
              <w:jc w:val="center"/>
            </w:pPr>
            <w:r>
              <w:rPr>
                <w:b/>
                <w:bCs/>
                <w:color w:val="FFFFFF"/>
                <w:sz w:val="20"/>
                <w:szCs w:val="20"/>
              </w:rPr>
              <w:t xml:space="preserve">Low</w:t>
            </w:r>
          </w:p>
        </w:tc>
        <w:tc>
          <w:tcPr>
            <w:tcW w:type="dxa" w:w="155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Next renewal cycle</w:t>
            </w:r>
          </w:p>
        </w:tc>
      </w:tr>
      <w:tr>
        <w:tc>
          <w:tcPr>
            <w:tcW w:type="dxa" w:w="9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R7</w:t>
            </w:r>
          </w:p>
        </w:tc>
        <w:tc>
          <w:tcPr>
            <w:tcW w:type="dxa" w:w="3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Configure automated 90-day API key/credential rotation via Azure Key Vault policy for the tracking-platform integration.</w:t>
            </w:r>
          </w:p>
        </w:tc>
        <w:tc>
          <w:tcPr>
            <w:tcW w:type="dxa" w:w="17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Cloud Security Architect</w:t>
            </w:r>
          </w:p>
        </w:tc>
        <w:tc>
          <w:tcPr>
            <w:tcW w:type="dxa" w:w="1600"/>
            <w:shd w:fill="B7862C" w:val="clear"/>
            <w:tcMar>
              <w:top w:type="dxa" w:w="80"/>
              <w:left w:type="dxa" w:w="100"/>
              <w:bottom w:type="dxa" w:w="80"/>
              <w:right w:type="dxa" w:w="100"/>
            </w:tcMar>
            <w:vAlign w:val="center"/>
          </w:tcPr>
          <w:p>
            <w:pPr>
              <w:jc w:val="center"/>
            </w:pPr>
            <w:r>
              <w:rPr>
                <w:b/>
                <w:bCs/>
                <w:color w:val="FFFFFF"/>
                <w:sz w:val="20"/>
                <w:szCs w:val="20"/>
              </w:rPr>
              <w:t xml:space="preserve">Medium</w:t>
            </w:r>
          </w:p>
        </w:tc>
        <w:tc>
          <w:tcPr>
            <w:tcW w:type="dxa" w:w="155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45 days</w:t>
            </w:r>
          </w:p>
        </w:tc>
      </w:tr>
    </w:tbl>
    <w:p>
      <w:pPr>
        <w:pStyle w:val="Heading1"/>
        <w:pBdr>
          <w:bottom w:val="single" w:color="1F3864" w:sz="6" w:space="4"/>
        </w:pBdr>
        <w:spacing w:after="160" w:before="320"/>
      </w:pPr>
      <w:r>
        <w:rPr>
          <w:b/>
          <w:bCs/>
          <w:color w:val="1F3864"/>
          <w:sz w:val="28"/>
          <w:szCs w:val="28"/>
        </w:rPr>
        <w:t xml:space="preserve">7. Conclusion and Next Steps</w:t>
      </w:r>
    </w:p>
    <w:p>
      <w:pPr>
        <w:spacing w:after="160" w:line="276"/>
      </w:pPr>
      <w:r>
        <w:rPr>
          <w:sz w:val="21"/>
          <w:szCs w:val="21"/>
        </w:rPr>
        <w:t xml:space="preserve">Microsoft Azure demonstrates a mature security and compliance posture consistent with its scale as a global hyperscale cloud provider, evidenced by current ISO/IEC 27001, ISO 27017/27018, SOC 2 Type II and PCI DSS certifications. The Low Risk rating (89.2%) supports continued use of Azure to host the Falcon Freight Solutions shipment tracking platform.</w:t>
      </w:r>
    </w:p>
    <w:p>
      <w:pPr>
        <w:spacing w:after="160" w:line="276"/>
      </w:pPr>
      <w:r>
        <w:rPr>
          <w:sz w:val="21"/>
          <w:szCs w:val="21"/>
        </w:rPr>
        <w:t xml:space="preserve">The identified gaps are largely shared-responsibility items — configuration and governance actions that sit with Falcon Freight Solutions rather than control weaknesses within Microsoft's own environment. Falcon Freight Solutions should:</w:t>
      </w:r>
    </w:p>
    <w:p>
      <w:pPr>
        <w:pStyle w:val="ListParagraph"/>
        <w:numPr>
          <w:ilvl w:val="0"/>
          <w:numId w:val="1"/>
        </w:numPr>
        <w:spacing w:after="80" w:line="264"/>
      </w:pPr>
      <w:r>
        <w:rPr>
          <w:sz w:val="21"/>
          <w:szCs w:val="21"/>
        </w:rPr>
        <w:t xml:space="preserve">Assign the mitigation actions in Section 6 to the named owners and track completion through the Master Risk Register and Third-Party Vendor Risk Register.</w:t>
      </w:r>
    </w:p>
    <w:p>
      <w:pPr>
        <w:pStyle w:val="ListParagraph"/>
        <w:numPr>
          <w:ilvl w:val="0"/>
          <w:numId w:val="1"/>
        </w:numPr>
        <w:spacing w:after="80" w:line="264"/>
      </w:pPr>
      <w:r>
        <w:rPr>
          <w:sz w:val="21"/>
          <w:szCs w:val="21"/>
        </w:rPr>
        <w:t xml:space="preserve">Update the Vendor Directory / Third-Party Vendor Register to reflect the 89.2% score, Low Risk rating, and 20 January 2027 next-assessment date.</w:t>
      </w:r>
    </w:p>
    <w:p>
      <w:pPr>
        <w:pStyle w:val="ListParagraph"/>
        <w:numPr>
          <w:ilvl w:val="0"/>
          <w:numId w:val="1"/>
        </w:numPr>
        <w:spacing w:after="80" w:line="264"/>
      </w:pPr>
      <w:r>
        <w:rPr>
          <w:sz w:val="21"/>
          <w:szCs w:val="21"/>
        </w:rPr>
        <w:t xml:space="preserve">Prioritise the High-priority actions (MFA enforcement, DLP/masking configuration, and DPIA completion) given the sensitivity of the data hosted on this platform.</w:t>
      </w:r>
    </w:p>
    <w:p>
      <w:pPr>
        <w:pStyle w:val="ListParagraph"/>
        <w:numPr>
          <w:ilvl w:val="0"/>
          <w:numId w:val="1"/>
        </w:numPr>
        <w:spacing w:after="80" w:line="264"/>
      </w:pPr>
      <w:r>
        <w:rPr>
          <w:sz w:val="21"/>
          <w:szCs w:val="21"/>
        </w:rPr>
        <w:t xml:space="preserve">Re-issue the questionnaire to Microsoft Azure at the next annual review, or sooner if a material change in the service or a security incident occurs.</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jc w:val="right"/>
    </w:pPr>
    <w:r>
      <w:rPr>
        <w:color w:val="888888"/>
        <w:sz w:val="16"/>
        <w:szCs w:val="16"/>
      </w:rPr>
      <w:t xml:space="preserve">Falcon Freight Solutions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2026-08-01T03:44:17.195Z</dcterms:created>
  <dcterms:modified xsi:type="dcterms:W3CDTF">2026-08-01T03:44:17.229Z</dcterms:modified>
</cp:coreProperties>
</file>

<file path=docProps/custom.xml><?xml version="1.0" encoding="utf-8"?>
<Properties xmlns="http://schemas.openxmlformats.org/officeDocument/2006/custom-properties" xmlns:vt="http://schemas.openxmlformats.org/officeDocument/2006/docPropsVTypes"/>
</file>