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44"/>
          <w:szCs w:val="44"/>
        </w:rPr>
        <w:t xml:space="preserve">FALCON FREIGHT SOLUTIONS</w:t>
      </w:r>
    </w:p>
    <w:p>
      <w:pPr>
        <w:spacing w:after="400"/>
        <w:jc w:val="center"/>
      </w:pPr>
      <w:r>
        <w:rPr>
          <w:i/>
          <w:iCs/>
          <w:color w:val="595959"/>
          <w:sz w:val="22"/>
          <w:szCs w:val="22"/>
        </w:rPr>
        <w:t xml:space="preserve">Freight Forwarding · Warehouse Management · Customs Clearance · Last-Mile Delivery</w:t>
      </w:r>
    </w:p>
    <w:p>
      <w:pPr>
        <w:spacing w:after="100" w:before="800"/>
        <w:jc w:val="center"/>
      </w:pPr>
      <w:r>
        <w:rPr>
          <w:b/>
          <w:bCs/>
          <w:color w:val="2E5395"/>
          <w:sz w:val="36"/>
          <w:szCs w:val="36"/>
        </w:rPr>
        <w:t xml:space="preserve">INFORMATION SECURITY POLICY</w:t>
      </w:r>
    </w:p>
    <w:p>
      <w:pPr>
        <w:spacing w:after="800"/>
        <w:jc w:val="center"/>
      </w:pPr>
      <w:r>
        <w:rPr>
          <w:color w:val="595959"/>
          <w:sz w:val="24"/>
          <w:szCs w:val="24"/>
        </w:rPr>
        <w:t xml:space="preserve">Corporate Policy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pPr>
              <w:spacing w:after="40"/>
            </w:pPr>
            <w:r>
              <w:rPr>
                <w:b/>
                <w:bCs/>
                <w:color w:val="FFFFFF"/>
                <w:sz w:val="20"/>
                <w:szCs w:val="20"/>
              </w:rPr>
              <w:t xml:space="preserve">Field</w:t>
            </w:r>
          </w:p>
        </w:tc>
        <w:tc>
          <w:tcPr>
            <w:tcW w:type="dxa" w:w="6200"/>
            <w:shd w:fill="1F3864" w:val="clear"/>
            <w:tcMar>
              <w:top w:type="dxa" w:w="80"/>
              <w:left w:type="dxa" w:w="100"/>
              <w:bottom w:type="dxa" w:w="80"/>
              <w:right w:type="dxa" w:w="100"/>
            </w:tcMar>
            <w:vAlign w:val="center"/>
          </w:tcPr>
          <w:p>
            <w:pPr>
              <w:spacing w:after="40"/>
            </w:pPr>
            <w:r>
              <w:rPr>
                <w:b/>
                <w:bCs/>
                <w:color w:val="FFFFFF"/>
                <w:sz w:val="20"/>
                <w:szCs w:val="20"/>
              </w:rPr>
              <w:t xml:space="preserve">Detail</w:t>
            </w:r>
          </w:p>
        </w:tc>
      </w:tr>
      <w:tr>
        <w:tc>
          <w:tcPr>
            <w:tcW w:type="dxa" w:w="3200"/>
            <w:tcMar>
              <w:top w:type="dxa" w:w="80"/>
              <w:left w:type="dxa" w:w="100"/>
              <w:bottom w:type="dxa" w:w="80"/>
              <w:right w:type="dxa" w:w="100"/>
            </w:tcMar>
          </w:tcPr>
          <w:p>
            <w:pPr>
              <w:spacing w:after="40"/>
            </w:pPr>
            <w:r>
              <w:rPr>
                <w:sz w:val="20"/>
                <w:szCs w:val="20"/>
              </w:rPr>
              <w:t xml:space="preserve">Document Owner</w:t>
            </w:r>
          </w:p>
        </w:tc>
        <w:tc>
          <w:tcPr>
            <w:tcW w:type="dxa" w:w="6200"/>
            <w:tcMar>
              <w:top w:type="dxa" w:w="80"/>
              <w:left w:type="dxa" w:w="100"/>
              <w:bottom w:type="dxa" w:w="80"/>
              <w:right w:type="dxa" w:w="100"/>
            </w:tcMar>
          </w:tcPr>
          <w:p>
            <w:pPr>
              <w:spacing w:after="40"/>
            </w:pPr>
            <w:r>
              <w:rPr>
                <w:sz w:val="20"/>
                <w:szCs w:val="20"/>
              </w:rPr>
              <w:t xml:space="preserve">Chief Information Security Officer (CISO)</w:t>
            </w:r>
          </w:p>
        </w:tc>
      </w:tr>
      <w:tr>
        <w:tc>
          <w:tcPr>
            <w:tcW w:type="dxa" w:w="3200"/>
            <w:tcMar>
              <w:top w:type="dxa" w:w="80"/>
              <w:left w:type="dxa" w:w="100"/>
              <w:bottom w:type="dxa" w:w="80"/>
              <w:right w:type="dxa" w:w="100"/>
            </w:tcMar>
          </w:tcPr>
          <w:p>
            <w:pPr>
              <w:spacing w:after="40"/>
            </w:pPr>
            <w:r>
              <w:rPr>
                <w:sz w:val="20"/>
                <w:szCs w:val="20"/>
              </w:rPr>
              <w:t xml:space="preserve">Approved By</w:t>
            </w:r>
          </w:p>
        </w:tc>
        <w:tc>
          <w:tcPr>
            <w:tcW w:type="dxa" w:w="6200"/>
            <w:tcMar>
              <w:top w:type="dxa" w:w="80"/>
              <w:left w:type="dxa" w:w="100"/>
              <w:bottom w:type="dxa" w:w="80"/>
              <w:right w:type="dxa" w:w="100"/>
            </w:tcMar>
          </w:tcPr>
          <w:p>
            <w:pPr>
              <w:spacing w:after="40"/>
            </w:pPr>
            <w:r>
              <w:rPr>
                <w:sz w:val="20"/>
                <w:szCs w:val="20"/>
              </w:rPr>
              <w:t xml:space="preserve">Board Risk &amp; Audit Committee</w:t>
            </w:r>
          </w:p>
        </w:tc>
      </w:tr>
      <w:tr>
        <w:tc>
          <w:tcPr>
            <w:tcW w:type="dxa" w:w="3200"/>
            <w:tcMar>
              <w:top w:type="dxa" w:w="80"/>
              <w:left w:type="dxa" w:w="100"/>
              <w:bottom w:type="dxa" w:w="80"/>
              <w:right w:type="dxa" w:w="100"/>
            </w:tcMar>
          </w:tcPr>
          <w:p>
            <w:pPr>
              <w:spacing w:after="40"/>
            </w:pPr>
            <w:r>
              <w:rPr>
                <w:sz w:val="20"/>
                <w:szCs w:val="20"/>
              </w:rPr>
              <w:t xml:space="preserve">Classification</w:t>
            </w:r>
          </w:p>
        </w:tc>
        <w:tc>
          <w:tcPr>
            <w:tcW w:type="dxa" w:w="6200"/>
            <w:tcMar>
              <w:top w:type="dxa" w:w="80"/>
              <w:left w:type="dxa" w:w="100"/>
              <w:bottom w:type="dxa" w:w="80"/>
              <w:right w:type="dxa" w:w="100"/>
            </w:tcMar>
          </w:tcPr>
          <w:p>
            <w:pPr>
              <w:spacing w:after="40"/>
            </w:pPr>
            <w:r>
              <w:rPr>
                <w:sz w:val="20"/>
                <w:szCs w:val="20"/>
              </w:rPr>
              <w:t xml:space="preserve">Internal — Controlled Document</w:t>
            </w:r>
          </w:p>
        </w:tc>
      </w:tr>
      <w:tr>
        <w:tc>
          <w:tcPr>
            <w:tcW w:type="dxa" w:w="3200"/>
            <w:tcMar>
              <w:top w:type="dxa" w:w="80"/>
              <w:left w:type="dxa" w:w="100"/>
              <w:bottom w:type="dxa" w:w="80"/>
              <w:right w:type="dxa" w:w="100"/>
            </w:tcMar>
          </w:tcPr>
          <w:p>
            <w:pPr>
              <w:spacing w:after="40"/>
            </w:pPr>
            <w:r>
              <w:rPr>
                <w:sz w:val="20"/>
                <w:szCs w:val="20"/>
              </w:rPr>
              <w:t xml:space="preserve">Version</w:t>
            </w:r>
          </w:p>
        </w:tc>
        <w:tc>
          <w:tcPr>
            <w:tcW w:type="dxa" w:w="6200"/>
            <w:tcMar>
              <w:top w:type="dxa" w:w="80"/>
              <w:left w:type="dxa" w:w="100"/>
              <w:bottom w:type="dxa" w:w="80"/>
              <w:right w:type="dxa" w:w="100"/>
            </w:tcMar>
          </w:tcPr>
          <w:p>
            <w:pPr>
              <w:spacing w:after="40"/>
            </w:pPr>
            <w:r>
              <w:rPr>
                <w:sz w:val="20"/>
                <w:szCs w:val="20"/>
              </w:rPr>
              <w:t xml:space="preserve">1.0</w:t>
            </w:r>
          </w:p>
        </w:tc>
      </w:tr>
      <w:tr>
        <w:tc>
          <w:tcPr>
            <w:tcW w:type="dxa" w:w="3200"/>
            <w:tcMar>
              <w:top w:type="dxa" w:w="80"/>
              <w:left w:type="dxa" w:w="100"/>
              <w:bottom w:type="dxa" w:w="80"/>
              <w:right w:type="dxa" w:w="100"/>
            </w:tcMar>
          </w:tcPr>
          <w:p>
            <w:pPr>
              <w:spacing w:after="40"/>
            </w:pPr>
            <w:r>
              <w:rPr>
                <w:sz w:val="20"/>
                <w:szCs w:val="20"/>
              </w:rPr>
              <w:t xml:space="preserve">Effective Date</w:t>
            </w:r>
          </w:p>
        </w:tc>
        <w:tc>
          <w:tcPr>
            <w:tcW w:type="dxa" w:w="6200"/>
            <w:tcMar>
              <w:top w:type="dxa" w:w="80"/>
              <w:left w:type="dxa" w:w="100"/>
              <w:bottom w:type="dxa" w:w="80"/>
              <w:right w:type="dxa" w:w="100"/>
            </w:tcMar>
          </w:tcPr>
          <w:p>
            <w:pPr>
              <w:spacing w:after="40"/>
            </w:pPr>
            <w:r>
              <w:rPr>
                <w:sz w:val="20"/>
                <w:szCs w:val="20"/>
              </w:rPr>
              <w:t xml:space="preserve">30 July 2026</w:t>
            </w:r>
          </w:p>
        </w:tc>
      </w:tr>
      <w:tr>
        <w:tc>
          <w:tcPr>
            <w:tcW w:type="dxa" w:w="3200"/>
            <w:tcMar>
              <w:top w:type="dxa" w:w="80"/>
              <w:left w:type="dxa" w:w="100"/>
              <w:bottom w:type="dxa" w:w="80"/>
              <w:right w:type="dxa" w:w="100"/>
            </w:tcMar>
          </w:tcPr>
          <w:p>
            <w:pPr>
              <w:spacing w:after="40"/>
            </w:pPr>
            <w:r>
              <w:rPr>
                <w:sz w:val="20"/>
                <w:szCs w:val="20"/>
              </w:rPr>
              <w:t xml:space="preserve">Next Scheduled Review</w:t>
            </w:r>
          </w:p>
        </w:tc>
        <w:tc>
          <w:tcPr>
            <w:tcW w:type="dxa" w:w="6200"/>
            <w:tcMar>
              <w:top w:type="dxa" w:w="80"/>
              <w:left w:type="dxa" w:w="100"/>
              <w:bottom w:type="dxa" w:w="80"/>
              <w:right w:type="dxa" w:w="100"/>
            </w:tcMar>
          </w:tcPr>
          <w:p>
            <w:pPr>
              <w:spacing w:after="40"/>
            </w:pPr>
            <w:r>
              <w:rPr>
                <w:sz w:val="20"/>
                <w:szCs w:val="20"/>
              </w:rPr>
              <w:t xml:space="preserve">30 July 2027</w:t>
            </w:r>
          </w:p>
        </w:tc>
      </w:tr>
      <w:tr>
        <w:tc>
          <w:tcPr>
            <w:tcW w:type="dxa" w:w="3200"/>
            <w:tcMar>
              <w:top w:type="dxa" w:w="80"/>
              <w:left w:type="dxa" w:w="100"/>
              <w:bottom w:type="dxa" w:w="80"/>
              <w:right w:type="dxa" w:w="100"/>
            </w:tcMar>
          </w:tcPr>
          <w:p>
            <w:pPr>
              <w:spacing w:after="40"/>
            </w:pPr>
            <w:r>
              <w:rPr>
                <w:sz w:val="20"/>
                <w:szCs w:val="20"/>
              </w:rPr>
              <w:t xml:space="preserve">Applies To</w:t>
            </w:r>
          </w:p>
        </w:tc>
        <w:tc>
          <w:tcPr>
            <w:tcW w:type="dxa" w:w="6200"/>
            <w:tcMar>
              <w:top w:type="dxa" w:w="80"/>
              <w:left w:type="dxa" w:w="100"/>
              <w:bottom w:type="dxa" w:w="80"/>
              <w:right w:type="dxa" w:w="100"/>
            </w:tcMar>
          </w:tcPr>
          <w:p>
            <w:pPr>
              <w:spacing w:after="40"/>
            </w:pPr>
            <w:r>
              <w:rPr>
                <w:sz w:val="20"/>
                <w:szCs w:val="20"/>
              </w:rPr>
              <w:t xml:space="preserve">All employees, contractors, third-party customs brokers, subcontracted delivery contractors, and vendors of Falcon Freight Solutions across all countries of operation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Table of Contents</w:t>
      </w:r>
    </w:p>
    <w:sdt>
      <w:sdtPr>
        <w:alias w:val="Table of Contents"/>
      </w:sdtPr>
      <w:sdtContent>
        <w:p>
          <w:pPr>
            <w:tabs>
              <w:tab w:val="right" w:leader="dot" w:pos="9300"/>
            </w:tabs>
            <w:spacing w:after="60"/>
          </w:pPr>
          <w:r>
            <w:rPr>
              <w:b/>
              <w:bCs/>
              <w:sz w:val="21"/>
              <w:szCs w:val="21"/>
            </w:rPr>
            <w:t xml:space="preserve">1. Introduction and Policy Statement</w:t>
          </w:r>
          <w:r>
            <w:rPr>
              <w:b/>
              <w:bCs/>
              <w:sz w:val="21"/>
              <w:szCs w:val="21"/>
            </w:rPr>
            <w:tab/>
            <w:t>3</w:t>
          </w:r>
        </w:p>
        <w:p>
          <w:pPr>
            <w:tabs>
              <w:tab w:val="right" w:leader="dot" w:pos="9300"/>
            </w:tabs>
            <w:spacing w:after="60"/>
            <w:ind w:left="360"/>
          </w:pPr>
          <w:r>
            <w:rPr>
              <w:sz w:val="20"/>
              <w:szCs w:val="20"/>
            </w:rPr>
            <w:t xml:space="preserve">1.1 Policy Statement</w:t>
          </w:r>
          <w:r>
            <w:rPr>
              <w:sz w:val="20"/>
              <w:szCs w:val="20"/>
            </w:rPr>
            <w:tab/>
            <w:t>3</w:t>
          </w:r>
        </w:p>
        <w:p>
          <w:pPr>
            <w:tabs>
              <w:tab w:val="right" w:leader="dot" w:pos="9300"/>
            </w:tabs>
            <w:spacing w:after="60"/>
          </w:pPr>
          <w:r>
            <w:rPr>
              <w:b/>
              <w:bCs/>
              <w:sz w:val="21"/>
              <w:szCs w:val="21"/>
            </w:rPr>
            <w:t xml:space="preserve">2. Purpose, Scope and Objectives</w:t>
          </w:r>
          <w:r>
            <w:rPr>
              <w:b/>
              <w:bCs/>
              <w:sz w:val="21"/>
              <w:szCs w:val="21"/>
            </w:rPr>
            <w:tab/>
            <w:t>3</w:t>
          </w:r>
        </w:p>
        <w:p>
          <w:pPr>
            <w:tabs>
              <w:tab w:val="right" w:leader="dot" w:pos="9300"/>
            </w:tabs>
            <w:spacing w:after="60"/>
            <w:ind w:left="360"/>
          </w:pPr>
          <w:r>
            <w:rPr>
              <w:sz w:val="20"/>
              <w:szCs w:val="20"/>
            </w:rPr>
            <w:t xml:space="preserve">2.1 Purpose</w:t>
          </w:r>
          <w:r>
            <w:rPr>
              <w:sz w:val="20"/>
              <w:szCs w:val="20"/>
            </w:rPr>
            <w:tab/>
            <w:t>3</w:t>
          </w:r>
        </w:p>
        <w:p>
          <w:pPr>
            <w:tabs>
              <w:tab w:val="right" w:leader="dot" w:pos="9300"/>
            </w:tabs>
            <w:spacing w:after="60"/>
            <w:ind w:left="360"/>
          </w:pPr>
          <w:r>
            <w:rPr>
              <w:sz w:val="20"/>
              <w:szCs w:val="20"/>
            </w:rPr>
            <w:t xml:space="preserve">2.2 Scope</w:t>
          </w:r>
          <w:r>
            <w:rPr>
              <w:sz w:val="20"/>
              <w:szCs w:val="20"/>
            </w:rPr>
            <w:tab/>
            <w:t>4</w:t>
          </w:r>
        </w:p>
        <w:p>
          <w:pPr>
            <w:tabs>
              <w:tab w:val="right" w:leader="dot" w:pos="9300"/>
            </w:tabs>
            <w:spacing w:after="60"/>
            <w:ind w:left="360"/>
          </w:pPr>
          <w:r>
            <w:rPr>
              <w:sz w:val="20"/>
              <w:szCs w:val="20"/>
            </w:rPr>
            <w:t xml:space="preserve">2.3 Objectives</w:t>
          </w:r>
          <w:r>
            <w:rPr>
              <w:sz w:val="20"/>
              <w:szCs w:val="20"/>
            </w:rPr>
            <w:tab/>
            <w:t>4</w:t>
          </w:r>
        </w:p>
        <w:p>
          <w:pPr>
            <w:tabs>
              <w:tab w:val="right" w:leader="dot" w:pos="9300"/>
            </w:tabs>
            <w:spacing w:after="60"/>
          </w:pPr>
          <w:r>
            <w:rPr>
              <w:b/>
              <w:bCs/>
              <w:sz w:val="21"/>
              <w:szCs w:val="21"/>
            </w:rPr>
            <w:t xml:space="preserve">3. Information Security Governance</w:t>
          </w:r>
          <w:r>
            <w:rPr>
              <w:b/>
              <w:bCs/>
              <w:sz w:val="21"/>
              <w:szCs w:val="21"/>
            </w:rPr>
            <w:tab/>
            <w:t>4</w:t>
          </w:r>
        </w:p>
        <w:p>
          <w:pPr>
            <w:tabs>
              <w:tab w:val="right" w:leader="dot" w:pos="9300"/>
            </w:tabs>
            <w:spacing w:after="60"/>
            <w:ind w:left="360"/>
          </w:pPr>
          <w:r>
            <w:rPr>
              <w:sz w:val="20"/>
              <w:szCs w:val="20"/>
            </w:rPr>
            <w:t xml:space="preserve">3.1 Roles and Responsibilities</w:t>
          </w:r>
          <w:r>
            <w:rPr>
              <w:sz w:val="20"/>
              <w:szCs w:val="20"/>
            </w:rPr>
            <w:tab/>
            <w:t>4</w:t>
          </w:r>
        </w:p>
        <w:p>
          <w:pPr>
            <w:tabs>
              <w:tab w:val="right" w:leader="dot" w:pos="9300"/>
            </w:tabs>
            <w:spacing w:after="60"/>
            <w:ind w:left="360"/>
          </w:pPr>
          <w:r>
            <w:rPr>
              <w:sz w:val="20"/>
              <w:szCs w:val="20"/>
            </w:rPr>
            <w:t xml:space="preserve">3.2 Information Security Steering Committee</w:t>
          </w:r>
          <w:r>
            <w:rPr>
              <w:sz w:val="20"/>
              <w:szCs w:val="20"/>
            </w:rPr>
            <w:tab/>
            <w:t>5</w:t>
          </w:r>
        </w:p>
        <w:p>
          <w:pPr>
            <w:tabs>
              <w:tab w:val="right" w:leader="dot" w:pos="9300"/>
            </w:tabs>
            <w:spacing w:after="60"/>
          </w:pPr>
          <w:r>
            <w:rPr>
              <w:b/>
              <w:bCs/>
              <w:sz w:val="21"/>
              <w:szCs w:val="21"/>
            </w:rPr>
            <w:t xml:space="preserve">4. Regulatory and Compliance Framework</w:t>
          </w:r>
          <w:r>
            <w:rPr>
              <w:b/>
              <w:bCs/>
              <w:sz w:val="21"/>
              <w:szCs w:val="21"/>
            </w:rPr>
            <w:tab/>
            <w:t>5</w:t>
          </w:r>
        </w:p>
        <w:p>
          <w:pPr>
            <w:tabs>
              <w:tab w:val="right" w:leader="dot" w:pos="9300"/>
            </w:tabs>
            <w:spacing w:after="60"/>
          </w:pPr>
          <w:r>
            <w:rPr>
              <w:b/>
              <w:bCs/>
              <w:sz w:val="21"/>
              <w:szCs w:val="21"/>
            </w:rPr>
            <w:t xml:space="preserve">5. Risk Management Approach</w:t>
          </w:r>
          <w:r>
            <w:rPr>
              <w:b/>
              <w:bCs/>
              <w:sz w:val="21"/>
              <w:szCs w:val="21"/>
            </w:rPr>
            <w:tab/>
            <w:t>6</w:t>
          </w:r>
        </w:p>
        <w:p>
          <w:pPr>
            <w:tabs>
              <w:tab w:val="right" w:leader="dot" w:pos="9300"/>
            </w:tabs>
            <w:spacing w:after="60"/>
          </w:pPr>
          <w:r>
            <w:rPr>
              <w:b/>
              <w:bCs/>
              <w:sz w:val="21"/>
              <w:szCs w:val="21"/>
            </w:rPr>
            <w:t xml:space="preserve">6. Information Asset Classification and Handling</w:t>
          </w:r>
          <w:r>
            <w:rPr>
              <w:b/>
              <w:bCs/>
              <w:sz w:val="21"/>
              <w:szCs w:val="21"/>
            </w:rPr>
            <w:tab/>
            <w:t>6</w:t>
          </w:r>
        </w:p>
        <w:p>
          <w:pPr>
            <w:tabs>
              <w:tab w:val="right" w:leader="dot" w:pos="9300"/>
            </w:tabs>
            <w:spacing w:after="60"/>
          </w:pPr>
          <w:r>
            <w:rPr>
              <w:b/>
              <w:bCs/>
              <w:sz w:val="21"/>
              <w:szCs w:val="21"/>
            </w:rPr>
            <w:t xml:space="preserve">7. Access Control</w:t>
          </w:r>
          <w:r>
            <w:rPr>
              <w:b/>
              <w:bCs/>
              <w:sz w:val="21"/>
              <w:szCs w:val="21"/>
            </w:rPr>
            <w:tab/>
            <w:t>7</w:t>
          </w:r>
        </w:p>
        <w:p>
          <w:pPr>
            <w:tabs>
              <w:tab w:val="right" w:leader="dot" w:pos="9300"/>
            </w:tabs>
            <w:spacing w:after="60"/>
            <w:ind w:left="360"/>
          </w:pPr>
          <w:r>
            <w:rPr>
              <w:sz w:val="20"/>
              <w:szCs w:val="20"/>
            </w:rPr>
            <w:t xml:space="preserve">7.1 Principles</w:t>
          </w:r>
          <w:r>
            <w:rPr>
              <w:sz w:val="20"/>
              <w:szCs w:val="20"/>
            </w:rPr>
            <w:tab/>
            <w:t>7</w:t>
          </w:r>
        </w:p>
        <w:p>
          <w:pPr>
            <w:tabs>
              <w:tab w:val="right" w:leader="dot" w:pos="9300"/>
            </w:tabs>
            <w:spacing w:after="60"/>
            <w:ind w:left="360"/>
          </w:pPr>
          <w:r>
            <w:rPr>
              <w:sz w:val="20"/>
              <w:szCs w:val="20"/>
            </w:rPr>
            <w:t xml:space="preserve">7.2 Account Lifecycle</w:t>
          </w:r>
          <w:r>
            <w:rPr>
              <w:sz w:val="20"/>
              <w:szCs w:val="20"/>
            </w:rPr>
            <w:tab/>
            <w:t>7</w:t>
          </w:r>
        </w:p>
        <w:p>
          <w:pPr>
            <w:tabs>
              <w:tab w:val="right" w:leader="dot" w:pos="9300"/>
            </w:tabs>
            <w:spacing w:after="60"/>
          </w:pPr>
          <w:r>
            <w:rPr>
              <w:b/>
              <w:bCs/>
              <w:sz w:val="21"/>
              <w:szCs w:val="21"/>
            </w:rPr>
            <w:t xml:space="preserve">8. Security of Hybrid Infrastructure</w:t>
          </w:r>
          <w:r>
            <w:rPr>
              <w:b/>
              <w:bCs/>
              <w:sz w:val="21"/>
              <w:szCs w:val="21"/>
            </w:rPr>
            <w:tab/>
            <w:t>7</w:t>
          </w:r>
        </w:p>
        <w:p>
          <w:pPr>
            <w:tabs>
              <w:tab w:val="right" w:leader="dot" w:pos="9300"/>
            </w:tabs>
            <w:spacing w:after="60"/>
            <w:ind w:left="360"/>
          </w:pPr>
          <w:r>
            <w:rPr>
              <w:sz w:val="20"/>
              <w:szCs w:val="20"/>
            </w:rPr>
            <w:t xml:space="preserve">8.1 Cloud-Based Shipment Tracking Platform — Shared Responsibility Model</w:t>
          </w:r>
          <w:r>
            <w:rPr>
              <w:sz w:val="20"/>
              <w:szCs w:val="20"/>
            </w:rPr>
            <w:tab/>
            <w:t>7</w:t>
          </w:r>
        </w:p>
        <w:p>
          <w:pPr>
            <w:tabs>
              <w:tab w:val="right" w:leader="dot" w:pos="9300"/>
            </w:tabs>
            <w:spacing w:after="60"/>
            <w:ind w:left="360"/>
          </w:pPr>
          <w:r>
            <w:rPr>
              <w:sz w:val="20"/>
              <w:szCs w:val="20"/>
            </w:rPr>
            <w:t xml:space="preserve">8.2 On-Premise Warehouse Management System — Full Security Responsibility</w:t>
          </w:r>
          <w:r>
            <w:rPr>
              <w:sz w:val="20"/>
              <w:szCs w:val="20"/>
            </w:rPr>
            <w:tab/>
            <w:t>8</w:t>
          </w:r>
        </w:p>
        <w:p>
          <w:pPr>
            <w:tabs>
              <w:tab w:val="right" w:leader="dot" w:pos="9300"/>
            </w:tabs>
            <w:spacing w:after="60"/>
            <w:ind w:left="360"/>
          </w:pPr>
          <w:r>
            <w:rPr>
              <w:sz w:val="20"/>
              <w:szCs w:val="20"/>
            </w:rPr>
            <w:t xml:space="preserve">8.3 Network and Field Connectivity</w:t>
          </w:r>
          <w:r>
            <w:rPr>
              <w:sz w:val="20"/>
              <w:szCs w:val="20"/>
            </w:rPr>
            <w:tab/>
            <w:t>8</w:t>
          </w:r>
        </w:p>
        <w:p>
          <w:pPr>
            <w:tabs>
              <w:tab w:val="right" w:leader="dot" w:pos="9300"/>
            </w:tabs>
            <w:spacing w:after="60"/>
          </w:pPr>
          <w:r>
            <w:rPr>
              <w:b/>
              <w:bCs/>
              <w:sz w:val="21"/>
              <w:szCs w:val="21"/>
            </w:rPr>
            <w:t xml:space="preserve">9. Third-Party, Vendor and Subcontractor Security</w:t>
          </w:r>
          <w:r>
            <w:rPr>
              <w:b/>
              <w:bCs/>
              <w:sz w:val="21"/>
              <w:szCs w:val="21"/>
            </w:rPr>
            <w:tab/>
            <w:t>9</w:t>
          </w:r>
        </w:p>
        <w:p>
          <w:pPr>
            <w:tabs>
              <w:tab w:val="right" w:leader="dot" w:pos="9300"/>
            </w:tabs>
            <w:spacing w:after="60"/>
            <w:ind w:left="360"/>
          </w:pPr>
          <w:r>
            <w:rPr>
              <w:sz w:val="20"/>
              <w:szCs w:val="20"/>
            </w:rPr>
            <w:t xml:space="preserve">9.1 Due Diligence and Onboarding</w:t>
          </w:r>
          <w:r>
            <w:rPr>
              <w:sz w:val="20"/>
              <w:szCs w:val="20"/>
            </w:rPr>
            <w:tab/>
            <w:t>9</w:t>
          </w:r>
        </w:p>
        <w:p>
          <w:pPr>
            <w:tabs>
              <w:tab w:val="right" w:leader="dot" w:pos="9300"/>
            </w:tabs>
            <w:spacing w:after="60"/>
            <w:ind w:left="360"/>
          </w:pPr>
          <w:r>
            <w:rPr>
              <w:sz w:val="20"/>
              <w:szCs w:val="20"/>
            </w:rPr>
            <w:t xml:space="preserve">9.2 Contractual Requirements</w:t>
          </w:r>
          <w:r>
            <w:rPr>
              <w:sz w:val="20"/>
              <w:szCs w:val="20"/>
            </w:rPr>
            <w:tab/>
            <w:t>9</w:t>
          </w:r>
        </w:p>
        <w:p>
          <w:pPr>
            <w:tabs>
              <w:tab w:val="right" w:leader="dot" w:pos="9300"/>
            </w:tabs>
            <w:spacing w:after="60"/>
            <w:ind w:left="360"/>
          </w:pPr>
          <w:r>
            <w:rPr>
              <w:sz w:val="20"/>
              <w:szCs w:val="20"/>
            </w:rPr>
            <w:t xml:space="preserve">9.3 Ongoing Monitoring</w:t>
          </w:r>
          <w:r>
            <w:rPr>
              <w:sz w:val="20"/>
              <w:szCs w:val="20"/>
            </w:rPr>
            <w:tab/>
            <w:t>9</w:t>
          </w:r>
        </w:p>
        <w:p>
          <w:pPr>
            <w:tabs>
              <w:tab w:val="right" w:leader="dot" w:pos="9300"/>
            </w:tabs>
            <w:spacing w:after="60"/>
          </w:pPr>
          <w:r>
            <w:rPr>
              <w:b/>
              <w:bCs/>
              <w:sz w:val="21"/>
              <w:szCs w:val="21"/>
            </w:rPr>
            <w:t xml:space="preserve">10. Cross-Border Data Transfer</w:t>
          </w:r>
          <w:r>
            <w:rPr>
              <w:b/>
              <w:bCs/>
              <w:sz w:val="21"/>
              <w:szCs w:val="21"/>
            </w:rPr>
            <w:tab/>
            <w:t>10</w:t>
          </w:r>
        </w:p>
        <w:p>
          <w:pPr>
            <w:tabs>
              <w:tab w:val="right" w:leader="dot" w:pos="9300"/>
            </w:tabs>
            <w:spacing w:after="60"/>
            <w:ind w:left="360"/>
          </w:pPr>
          <w:r>
            <w:rPr>
              <w:sz w:val="20"/>
              <w:szCs w:val="20"/>
            </w:rPr>
            <w:t xml:space="preserve">10.1 Principles</w:t>
          </w:r>
          <w:r>
            <w:rPr>
              <w:sz w:val="20"/>
              <w:szCs w:val="20"/>
            </w:rPr>
            <w:tab/>
            <w:t>10</w:t>
          </w:r>
        </w:p>
        <w:p>
          <w:pPr>
            <w:tabs>
              <w:tab w:val="right" w:leader="dot" w:pos="9300"/>
            </w:tabs>
            <w:spacing w:after="60"/>
            <w:ind w:left="360"/>
          </w:pPr>
          <w:r>
            <w:rPr>
              <w:sz w:val="20"/>
              <w:szCs w:val="20"/>
            </w:rPr>
            <w:t xml:space="preserve">10.2 Application to Falcon Freight's Operations</w:t>
          </w:r>
          <w:r>
            <w:rPr>
              <w:sz w:val="20"/>
              <w:szCs w:val="20"/>
            </w:rPr>
            <w:tab/>
            <w:t>10</w:t>
          </w:r>
        </w:p>
        <w:p>
          <w:pPr>
            <w:tabs>
              <w:tab w:val="right" w:leader="dot" w:pos="9300"/>
            </w:tabs>
            <w:spacing w:after="60"/>
          </w:pPr>
          <w:r>
            <w:rPr>
              <w:b/>
              <w:bCs/>
              <w:sz w:val="21"/>
              <w:szCs w:val="21"/>
            </w:rPr>
            <w:t xml:space="preserve">11. Data Protection and Privacy</w:t>
          </w:r>
          <w:r>
            <w:rPr>
              <w:b/>
              <w:bCs/>
              <w:sz w:val="21"/>
              <w:szCs w:val="21"/>
            </w:rPr>
            <w:tab/>
            <w:t>10</w:t>
          </w:r>
        </w:p>
        <w:p>
          <w:pPr>
            <w:tabs>
              <w:tab w:val="right" w:leader="dot" w:pos="9300"/>
            </w:tabs>
            <w:spacing w:after="60"/>
            <w:ind w:left="360"/>
          </w:pPr>
          <w:r>
            <w:rPr>
              <w:sz w:val="20"/>
              <w:szCs w:val="20"/>
            </w:rPr>
            <w:t xml:space="preserve">11.1 Data Protection Principles</w:t>
          </w:r>
          <w:r>
            <w:rPr>
              <w:sz w:val="20"/>
              <w:szCs w:val="20"/>
            </w:rPr>
            <w:tab/>
            <w:t>10</w:t>
          </w:r>
        </w:p>
        <w:p>
          <w:pPr>
            <w:tabs>
              <w:tab w:val="right" w:leader="dot" w:pos="9300"/>
            </w:tabs>
            <w:spacing w:after="60"/>
            <w:ind w:left="360"/>
          </w:pPr>
          <w:r>
            <w:rPr>
              <w:sz w:val="20"/>
              <w:szCs w:val="20"/>
            </w:rPr>
            <w:t xml:space="preserve">11.2 Data Subject Rights</w:t>
          </w:r>
          <w:r>
            <w:rPr>
              <w:sz w:val="20"/>
              <w:szCs w:val="20"/>
            </w:rPr>
            <w:tab/>
            <w:t>11</w:t>
          </w:r>
        </w:p>
        <w:p>
          <w:pPr>
            <w:tabs>
              <w:tab w:val="right" w:leader="dot" w:pos="9300"/>
            </w:tabs>
            <w:spacing w:after="60"/>
            <w:ind w:left="360"/>
          </w:pPr>
          <w:r>
            <w:rPr>
              <w:sz w:val="20"/>
              <w:szCs w:val="20"/>
            </w:rPr>
            <w:t xml:space="preserve">11.3 Registration and Regulatory Liaison</w:t>
          </w:r>
          <w:r>
            <w:rPr>
              <w:sz w:val="20"/>
              <w:szCs w:val="20"/>
            </w:rPr>
            <w:tab/>
            <w:t>11</w:t>
          </w:r>
        </w:p>
        <w:p>
          <w:pPr>
            <w:tabs>
              <w:tab w:val="right" w:leader="dot" w:pos="9300"/>
            </w:tabs>
            <w:spacing w:after="60"/>
          </w:pPr>
          <w:r>
            <w:rPr>
              <w:b/>
              <w:bCs/>
              <w:sz w:val="21"/>
              <w:szCs w:val="21"/>
            </w:rPr>
            <w:t xml:space="preserve">12. Incident Management and Breach Notification</w:t>
          </w:r>
          <w:r>
            <w:rPr>
              <w:b/>
              <w:bCs/>
              <w:sz w:val="21"/>
              <w:szCs w:val="21"/>
            </w:rPr>
            <w:tab/>
            <w:t>11</w:t>
          </w:r>
        </w:p>
        <w:p>
          <w:pPr>
            <w:tabs>
              <w:tab w:val="right" w:leader="dot" w:pos="9300"/>
            </w:tabs>
            <w:spacing w:after="60"/>
            <w:ind w:left="360"/>
          </w:pPr>
          <w:r>
            <w:rPr>
              <w:sz w:val="20"/>
              <w:szCs w:val="20"/>
            </w:rPr>
            <w:t xml:space="preserve">12.1 Incident Response Process</w:t>
          </w:r>
          <w:r>
            <w:rPr>
              <w:sz w:val="20"/>
              <w:szCs w:val="20"/>
            </w:rPr>
            <w:tab/>
            <w:t>11</w:t>
          </w:r>
        </w:p>
        <w:p>
          <w:pPr>
            <w:tabs>
              <w:tab w:val="right" w:leader="dot" w:pos="9300"/>
            </w:tabs>
            <w:spacing w:after="60"/>
            <w:ind w:left="360"/>
          </w:pPr>
          <w:r>
            <w:rPr>
              <w:sz w:val="20"/>
              <w:szCs w:val="20"/>
            </w:rPr>
            <w:t xml:space="preserve">12.2 Third-Party Breach Reporting</w:t>
          </w:r>
          <w:r>
            <w:rPr>
              <w:sz w:val="20"/>
              <w:szCs w:val="20"/>
            </w:rPr>
            <w:tab/>
            <w:t>12</w:t>
          </w:r>
        </w:p>
        <w:p>
          <w:pPr>
            <w:tabs>
              <w:tab w:val="right" w:leader="dot" w:pos="9300"/>
            </w:tabs>
            <w:spacing w:after="60"/>
          </w:pPr>
          <w:r>
            <w:rPr>
              <w:b/>
              <w:bCs/>
              <w:sz w:val="21"/>
              <w:szCs w:val="21"/>
            </w:rPr>
            <w:t xml:space="preserve">13. Business Continuity and Disaster Recovery</w:t>
          </w:r>
          <w:r>
            <w:rPr>
              <w:b/>
              <w:bCs/>
              <w:sz w:val="21"/>
              <w:szCs w:val="21"/>
            </w:rPr>
            <w:tab/>
            <w:t>12</w:t>
          </w:r>
        </w:p>
        <w:p>
          <w:pPr>
            <w:tabs>
              <w:tab w:val="right" w:leader="dot" w:pos="9300"/>
            </w:tabs>
            <w:spacing w:after="60"/>
          </w:pPr>
          <w:r>
            <w:rPr>
              <w:b/>
              <w:bCs/>
              <w:sz w:val="21"/>
              <w:szCs w:val="21"/>
            </w:rPr>
            <w:t xml:space="preserve">14. Physical and Environmental Security</w:t>
          </w:r>
          <w:r>
            <w:rPr>
              <w:b/>
              <w:bCs/>
              <w:sz w:val="21"/>
              <w:szCs w:val="21"/>
            </w:rPr>
            <w:tab/>
            <w:t>12</w:t>
          </w:r>
        </w:p>
        <w:p>
          <w:pPr>
            <w:tabs>
              <w:tab w:val="right" w:leader="dot" w:pos="9300"/>
            </w:tabs>
            <w:spacing w:after="60"/>
          </w:pPr>
          <w:r>
            <w:rPr>
              <w:b/>
              <w:bCs/>
              <w:sz w:val="21"/>
              <w:szCs w:val="21"/>
            </w:rPr>
            <w:t xml:space="preserve">15. Human Resource Security and Awareness</w:t>
          </w:r>
          <w:r>
            <w:rPr>
              <w:b/>
              <w:bCs/>
              <w:sz w:val="21"/>
              <w:szCs w:val="21"/>
            </w:rPr>
            <w:tab/>
            <w:t>12</w:t>
          </w:r>
        </w:p>
        <w:p>
          <w:pPr>
            <w:tabs>
              <w:tab w:val="right" w:leader="dot" w:pos="9300"/>
            </w:tabs>
            <w:spacing w:after="60"/>
          </w:pPr>
          <w:r>
            <w:rPr>
              <w:b/>
              <w:bCs/>
              <w:sz w:val="21"/>
              <w:szCs w:val="21"/>
            </w:rPr>
            <w:t xml:space="preserve">16. Monitoring, Audit and Compliance</w:t>
          </w:r>
          <w:r>
            <w:rPr>
              <w:b/>
              <w:bCs/>
              <w:sz w:val="21"/>
              <w:szCs w:val="21"/>
            </w:rPr>
            <w:tab/>
            <w:t>13</w:t>
          </w:r>
        </w:p>
        <w:p>
          <w:pPr>
            <w:tabs>
              <w:tab w:val="right" w:leader="dot" w:pos="9300"/>
            </w:tabs>
            <w:spacing w:after="60"/>
          </w:pPr>
          <w:r>
            <w:rPr>
              <w:b/>
              <w:bCs/>
              <w:sz w:val="21"/>
              <w:szCs w:val="21"/>
            </w:rPr>
            <w:t xml:space="preserve">17. Policy Enforcement, Exceptions and Sanctions</w:t>
          </w:r>
          <w:r>
            <w:rPr>
              <w:b/>
              <w:bCs/>
              <w:sz w:val="21"/>
              <w:szCs w:val="21"/>
            </w:rPr>
            <w:tab/>
            <w:t>13</w:t>
          </w:r>
        </w:p>
        <w:p>
          <w:pPr>
            <w:tabs>
              <w:tab w:val="right" w:leader="dot" w:pos="9300"/>
            </w:tabs>
            <w:spacing w:after="60"/>
          </w:pPr>
          <w:r>
            <w:rPr>
              <w:b/>
              <w:bCs/>
              <w:sz w:val="21"/>
              <w:szCs w:val="21"/>
            </w:rPr>
            <w:t xml:space="preserve">18. Policy Review and Amendment</w:t>
          </w:r>
          <w:r>
            <w:rPr>
              <w:b/>
              <w:bCs/>
              <w:sz w:val="21"/>
              <w:szCs w:val="21"/>
            </w:rPr>
            <w:tab/>
            <w:t>13</w:t>
          </w:r>
        </w:p>
        <w:p>
          <w:pPr>
            <w:tabs>
              <w:tab w:val="right" w:leader="dot" w:pos="9300"/>
            </w:tabs>
            <w:spacing w:after="60"/>
          </w:pPr>
          <w:r>
            <w:rPr>
              <w:b/>
              <w:bCs/>
              <w:sz w:val="21"/>
              <w:szCs w:val="21"/>
            </w:rPr>
            <w:t xml:space="preserve">19. Related Policies and Standards</w:t>
          </w:r>
          <w:r>
            <w:rPr>
              <w:b/>
              <w:bCs/>
              <w:sz w:val="21"/>
              <w:szCs w:val="21"/>
            </w:rPr>
            <w:tab/>
            <w:t>13</w:t>
          </w:r>
        </w:p>
        <w:p>
          <w:pPr>
            <w:tabs>
              <w:tab w:val="right" w:leader="dot" w:pos="9300"/>
            </w:tabs>
            <w:spacing w:after="60"/>
          </w:pPr>
          <w:r>
            <w:rPr>
              <w:b/>
              <w:bCs/>
              <w:sz w:val="21"/>
              <w:szCs w:val="21"/>
            </w:rPr>
            <w:t xml:space="preserve">20. Revision History</w:t>
          </w:r>
          <w:r>
            <w:rPr>
              <w:b/>
              <w:bCs/>
              <w:sz w:val="21"/>
              <w:szCs w:val="21"/>
            </w:rPr>
            <w:tab/>
            <w:t>14</w:t>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Introduction and Policy Statement</w:t>
      </w:r>
    </w:p>
    <w:p>
      <w:pPr>
        <w:spacing w:after="150" w:line="276"/>
      </w:pPr>
      <w:r>
        <w:rPr>
          <w:sz w:val="21"/>
          <w:szCs w:val="21"/>
        </w:rPr>
        <w:t xml:space="preserve">Falcon Freight Solutions ("Falcon Freight", "the Company") is a mid-sized logistics and supply chain company established in 2018, headquartered in Johannesburg, South Africa, with operations across Southern and East Africa. Falcon Freight provides freight forwarding, warehouse management, customs clearance, and last-mile delivery services, and its operations depend on the confidentiality, integrity, and availability of information relating to shipments, customers, warehouse inventory, and business partners.</w:t>
      </w:r>
    </w:p>
    <w:p>
      <w:pPr>
        <w:spacing w:after="150" w:line="276"/>
      </w:pPr>
      <w:r>
        <w:rPr>
          <w:sz w:val="21"/>
          <w:szCs w:val="21"/>
        </w:rPr>
        <w:t xml:space="preserve">As Falcon Freight has expanded into multiple regions, it has onboarded a growing number of external partners and vendors, increasing its operational complexity and exposure to risk. This is most pronounced in three areas: inconsistent vendor onboarding and risk assessment, uncontrolled third-party access to sensitive customer and shipment data, and limited visibility into compliance obligations across jurisdictions.</w:t>
      </w:r>
    </w:p>
    <w:p>
      <w:pPr>
        <w:spacing w:after="150" w:line="276"/>
      </w:pPr>
      <w:r>
        <w:rPr>
          <w:sz w:val="21"/>
          <w:szCs w:val="21"/>
        </w:rPr>
        <w:t xml:space="preserve">This Information Security Policy ("the Policy") establishes the framework by which Falcon Freight identifies, manages, and reduces information security risk across its hybrid infrastructure, its regional operations, and its network of vendors and subcontractors. It is the top-level governing document in Falcon Freight's Information Security Management System (ISMS) and is supported by subordinate standards, procedures, and guidelines.</w:t>
      </w:r>
    </w:p>
    <w:p>
      <w:pPr>
        <w:pStyle w:val="Heading2"/>
        <w:spacing w:after="150" w:before="300"/>
      </w:pPr>
      <w:r>
        <w:rPr>
          <w:b/>
          <w:bCs/>
          <w:color w:val="2E5395"/>
          <w:sz w:val="25"/>
          <w:szCs w:val="25"/>
        </w:rPr>
        <w:t xml:space="preserve">1.1 Policy Statement</w:t>
      </w:r>
    </w:p>
    <w:p>
      <w:pPr>
        <w:spacing w:after="150" w:line="276"/>
      </w:pPr>
      <w:r>
        <w:rPr>
          <w:sz w:val="21"/>
          <w:szCs w:val="21"/>
        </w:rPr>
        <w:t xml:space="preserve">Falcon Freight is committed to protecting the confidentiality, integrity, and availability of all information assets — including customer data, shipment and tracking data, employee data, and business-critical systems — against threats, whether internal or external, deliberate or accidental. Falcon Freight will implement and maintain an Information Security Management System aligned with ISO/IEC 27001:2022 and ISO 31000, adopt the NIST Cybersecurity Framework (CSF) for security controls and best practice, and will comply with all applicable data protection laws in the jurisdictions in which it operates, including the South African Protection of Personal Information Act (POPIA), the data protection laws of its East African countries of operation, and, where Falcon Freight processes personal data of individuals in the European Union or otherwise falls within its scope, the EU General Data Protection Regulation (GDPR).</w:t>
      </w:r>
    </w:p>
    <w:p>
      <w:pPr>
        <w:pStyle w:val="Heading1"/>
        <w:pBdr>
          <w:bottom w:val="single" w:color="1F3864" w:sz="6" w:space="4"/>
        </w:pBdr>
        <w:spacing w:after="200" w:before="400"/>
      </w:pPr>
      <w:r>
        <w:rPr>
          <w:b/>
          <w:bCs/>
          <w:color w:val="1F3864"/>
          <w:sz w:val="30"/>
          <w:szCs w:val="30"/>
        </w:rPr>
        <w:t xml:space="preserve">2. Purpose, Scope and Objectives</w:t>
      </w:r>
    </w:p>
    <w:p>
      <w:pPr>
        <w:pStyle w:val="Heading2"/>
        <w:spacing w:after="150" w:before="300"/>
      </w:pPr>
      <w:r>
        <w:rPr>
          <w:b/>
          <w:bCs/>
          <w:color w:val="2E5395"/>
          <w:sz w:val="25"/>
          <w:szCs w:val="25"/>
        </w:rPr>
        <w:t xml:space="preserve">2.1 Purpose</w:t>
      </w:r>
    </w:p>
    <w:p>
      <w:pPr>
        <w:pStyle w:val="ListParagraph"/>
        <w:numPr>
          <w:ilvl w:val="0"/>
          <w:numId w:val="1"/>
        </w:numPr>
        <w:spacing w:after="90" w:line="276"/>
      </w:pPr>
      <w:r>
        <w:rPr>
          <w:sz w:val="21"/>
          <w:szCs w:val="21"/>
        </w:rPr>
        <w:t xml:space="preserve">Protect Falcon Freight's information assets and those of its customers and partners from unauthorized access, disclosure, alteration, loss, or destruction.</w:t>
      </w:r>
    </w:p>
    <w:p>
      <w:pPr>
        <w:pStyle w:val="ListParagraph"/>
        <w:numPr>
          <w:ilvl w:val="0"/>
          <w:numId w:val="1"/>
        </w:numPr>
        <w:spacing w:after="90" w:line="276"/>
      </w:pPr>
      <w:r>
        <w:rPr>
          <w:sz w:val="21"/>
          <w:szCs w:val="21"/>
        </w:rPr>
        <w:t xml:space="preserve">Establish clear accountability for information security across head office, regional operations, third-party customs brokers, and delivery contractors.</w:t>
      </w:r>
    </w:p>
    <w:p>
      <w:pPr>
        <w:pStyle w:val="ListParagraph"/>
        <w:numPr>
          <w:ilvl w:val="0"/>
          <w:numId w:val="1"/>
        </w:numPr>
        <w:spacing w:after="90" w:line="276"/>
      </w:pPr>
      <w:r>
        <w:rPr>
          <w:sz w:val="21"/>
          <w:szCs w:val="21"/>
        </w:rPr>
        <w:t xml:space="preserve">Ensure compliance with applicable legal, regulatory, and contractual obligations across all jurisdictions in which Falcon Freight operates.</w:t>
      </w:r>
    </w:p>
    <w:p>
      <w:pPr>
        <w:pStyle w:val="ListParagraph"/>
        <w:numPr>
          <w:ilvl w:val="0"/>
          <w:numId w:val="1"/>
        </w:numPr>
        <w:spacing w:after="90" w:line="276"/>
      </w:pPr>
      <w:r>
        <w:rPr>
          <w:sz w:val="21"/>
          <w:szCs w:val="21"/>
        </w:rPr>
        <w:t xml:space="preserve">Provide a consistent security baseline that applies equally across the cloud-based shipment tracking platform, the on-premise warehouse management system, and all interconnected third-party systems.</w:t>
      </w:r>
    </w:p>
    <w:p>
      <w:pPr>
        <w:pStyle w:val="ListParagraph"/>
        <w:numPr>
          <w:ilvl w:val="0"/>
          <w:numId w:val="1"/>
        </w:numPr>
        <w:spacing w:after="90" w:line="276"/>
      </w:pPr>
      <w:r>
        <w:rPr>
          <w:sz w:val="21"/>
          <w:szCs w:val="21"/>
        </w:rPr>
        <w:t xml:space="preserve">Reduce operational, financial, legal, and reputational risk arising from information security incidents.</w:t>
      </w:r>
    </w:p>
    <w:p>
      <w:pPr>
        <w:pStyle w:val="Heading2"/>
        <w:spacing w:after="150" w:before="300"/>
      </w:pPr>
      <w:r>
        <w:rPr>
          <w:b/>
          <w:bCs/>
          <w:color w:val="2E5395"/>
          <w:sz w:val="25"/>
          <w:szCs w:val="25"/>
        </w:rPr>
        <w:t xml:space="preserve">2.2 Scope</w:t>
      </w:r>
    </w:p>
    <w:p>
      <w:pPr>
        <w:spacing w:after="150" w:line="276"/>
      </w:pPr>
      <w:r>
        <w:rPr>
          <w:sz w:val="21"/>
          <w:szCs w:val="21"/>
        </w:rPr>
        <w:t xml:space="preserve">This Policy applies to:</w:t>
      </w:r>
    </w:p>
    <w:p>
      <w:pPr>
        <w:pStyle w:val="ListParagraph"/>
        <w:numPr>
          <w:ilvl w:val="0"/>
          <w:numId w:val="1"/>
        </w:numPr>
        <w:spacing w:after="90" w:line="276"/>
      </w:pPr>
      <w:r>
        <w:rPr>
          <w:sz w:val="21"/>
          <w:szCs w:val="21"/>
        </w:rPr>
        <w:t xml:space="preserve">All Falcon Freight employees, management, and directors, at head office (Johannesburg, South Africa) and in all regional offices across Southern and East Africa.</w:t>
      </w:r>
    </w:p>
    <w:p>
      <w:pPr>
        <w:pStyle w:val="ListParagraph"/>
        <w:numPr>
          <w:ilvl w:val="0"/>
          <w:numId w:val="1"/>
        </w:numPr>
        <w:spacing w:after="90" w:line="276"/>
      </w:pPr>
      <w:r>
        <w:rPr>
          <w:sz w:val="21"/>
          <w:szCs w:val="21"/>
        </w:rPr>
        <w:t xml:space="preserve">All contractors, temporary staff, and interns engaged by Falcon Freight.</w:t>
      </w:r>
    </w:p>
    <w:p>
      <w:pPr>
        <w:pStyle w:val="ListParagraph"/>
        <w:numPr>
          <w:ilvl w:val="0"/>
          <w:numId w:val="1"/>
        </w:numPr>
        <w:spacing w:after="90" w:line="276"/>
      </w:pPr>
      <w:r>
        <w:rPr>
          <w:sz w:val="21"/>
          <w:szCs w:val="21"/>
        </w:rPr>
        <w:t xml:space="preserve">All third-party customs brokers and subcontracted delivery contractors who access, process, or transmit Falcon Freight or customer information in the course of providing services.</w:t>
      </w:r>
    </w:p>
    <w:p>
      <w:pPr>
        <w:pStyle w:val="ListParagraph"/>
        <w:numPr>
          <w:ilvl w:val="0"/>
          <w:numId w:val="1"/>
        </w:numPr>
        <w:spacing w:after="90" w:line="276"/>
      </w:pPr>
      <w:r>
        <w:rPr>
          <w:sz w:val="21"/>
          <w:szCs w:val="21"/>
        </w:rPr>
        <w:t xml:space="preserve">All vendors, cloud service providers, and technology partners with access to Falcon Freight systems or data, including the provider of the cloud-based shipment tracking platform.</w:t>
      </w:r>
    </w:p>
    <w:p>
      <w:pPr>
        <w:pStyle w:val="ListParagraph"/>
        <w:numPr>
          <w:ilvl w:val="0"/>
          <w:numId w:val="1"/>
        </w:numPr>
        <w:spacing w:after="90" w:line="276"/>
      </w:pPr>
      <w:r>
        <w:rPr>
          <w:sz w:val="21"/>
          <w:szCs w:val="21"/>
        </w:rPr>
        <w:t xml:space="preserve">All information assets, in any format, including electronic systems, physical documents, mobile devices, and verbal communications where sensitive information is discussed.</w:t>
      </w:r>
    </w:p>
    <w:p>
      <w:pPr>
        <w:pStyle w:val="ListParagraph"/>
        <w:numPr>
          <w:ilvl w:val="0"/>
          <w:numId w:val="1"/>
        </w:numPr>
        <w:spacing w:after="90" w:line="276"/>
      </w:pPr>
      <w:r>
        <w:rPr>
          <w:sz w:val="21"/>
          <w:szCs w:val="21"/>
        </w:rPr>
        <w:t xml:space="preserve">All systems within Falcon Freight's hybrid infrastructure, specifically the cloud-based shipment tracking platform, the on-premise warehouse management system, corporate IT systems, and networked devices used by delivery contractors and customs brokers.</w:t>
      </w:r>
    </w:p>
    <w:p>
      <w:pPr>
        <w:pStyle w:val="Heading2"/>
        <w:spacing w:after="150" w:before="300"/>
      </w:pPr>
      <w:r>
        <w:rPr>
          <w:b/>
          <w:bCs/>
          <w:color w:val="2E5395"/>
          <w:sz w:val="25"/>
          <w:szCs w:val="25"/>
        </w:rPr>
        <w:t xml:space="preserve">2.3 Objectives</w:t>
      </w:r>
    </w:p>
    <w:p>
      <w:pPr>
        <w:pStyle w:val="ListParagraph"/>
        <w:numPr>
          <w:ilvl w:val="0"/>
          <w:numId w:val="2"/>
        </w:numPr>
        <w:spacing w:after="90" w:line="276"/>
      </w:pPr>
      <w:r>
        <w:rPr>
          <w:sz w:val="21"/>
          <w:szCs w:val="21"/>
        </w:rPr>
        <w:t xml:space="preserve">Maintain certification-aligned conformity with ISO/IEC 27001:2022 across all in-scope business units.</w:t>
      </w:r>
    </w:p>
    <w:p>
      <w:pPr>
        <w:pStyle w:val="ListParagraph"/>
        <w:numPr>
          <w:ilvl w:val="0"/>
          <w:numId w:val="2"/>
        </w:numPr>
        <w:spacing w:after="90" w:line="276"/>
      </w:pPr>
      <w:r>
        <w:rPr>
          <w:sz w:val="21"/>
          <w:szCs w:val="21"/>
        </w:rPr>
        <w:t xml:space="preserve">Embed a structured, enterprise-wide risk management approach consistent with ISO 31000, and adopt the NIST Cybersecurity Framework (CSF) to strengthen security controls and best practice.</w:t>
      </w:r>
    </w:p>
    <w:p>
      <w:pPr>
        <w:pStyle w:val="ListParagraph"/>
        <w:numPr>
          <w:ilvl w:val="0"/>
          <w:numId w:val="2"/>
        </w:numPr>
        <w:spacing w:after="90" w:line="276"/>
      </w:pPr>
      <w:r>
        <w:rPr>
          <w:sz w:val="21"/>
          <w:szCs w:val="21"/>
        </w:rPr>
        <w:t xml:space="preserve">Achieve and maintain full compliance with POPIA, applicable East African data protection laws, and GDPR obligations where applicable.</w:t>
      </w:r>
    </w:p>
    <w:p>
      <w:pPr>
        <w:pStyle w:val="ListParagraph"/>
        <w:numPr>
          <w:ilvl w:val="0"/>
          <w:numId w:val="2"/>
        </w:numPr>
        <w:spacing w:after="90" w:line="276"/>
      </w:pPr>
      <w:r>
        <w:rPr>
          <w:sz w:val="21"/>
          <w:szCs w:val="21"/>
        </w:rPr>
        <w:t xml:space="preserve">Establish a risk-based approach to security that reflects Falcon Freight's hybrid infrastructure and multi-region footprint.</w:t>
      </w:r>
    </w:p>
    <w:p>
      <w:pPr>
        <w:pStyle w:val="ListParagraph"/>
        <w:numPr>
          <w:ilvl w:val="0"/>
          <w:numId w:val="2"/>
        </w:numPr>
        <w:spacing w:after="90" w:line="276"/>
      </w:pPr>
      <w:r>
        <w:rPr>
          <w:sz w:val="21"/>
          <w:szCs w:val="21"/>
        </w:rPr>
        <w:t xml:space="preserve">Ensure that every third party with access to Falcon Freight data is bound by enforceable security and data protection obligations.</w:t>
      </w:r>
    </w:p>
    <w:p>
      <w:pPr>
        <w:pStyle w:val="ListParagraph"/>
        <w:numPr>
          <w:ilvl w:val="0"/>
          <w:numId w:val="2"/>
        </w:numPr>
        <w:spacing w:after="90" w:line="276"/>
      </w:pPr>
      <w:r>
        <w:rPr>
          <w:sz w:val="21"/>
          <w:szCs w:val="21"/>
        </w:rPr>
        <w:t xml:space="preserve">Provide a mechanism for consistent policy enforcement and monitoring across all regional operations.</w:t>
      </w:r>
    </w:p>
    <w:p>
      <w:pPr>
        <w:pStyle w:val="Heading1"/>
        <w:pBdr>
          <w:bottom w:val="single" w:color="1F3864" w:sz="6" w:space="4"/>
        </w:pBdr>
        <w:spacing w:after="200" w:before="400"/>
      </w:pPr>
      <w:r>
        <w:rPr>
          <w:b/>
          <w:bCs/>
          <w:color w:val="1F3864"/>
          <w:sz w:val="30"/>
          <w:szCs w:val="30"/>
        </w:rPr>
        <w:t xml:space="preserve">3. Information Security Governance</w:t>
      </w:r>
    </w:p>
    <w:p>
      <w:pPr>
        <w:spacing w:after="150" w:line="276"/>
      </w:pPr>
      <w:r>
        <w:rPr>
          <w:sz w:val="21"/>
          <w:szCs w:val="21"/>
        </w:rPr>
        <w:t xml:space="preserve">Falcon Freight operates a three-tiered governance structure to ensure information security accountability is clear at the Board, management, and operational levels.</w:t>
      </w:r>
    </w:p>
    <w:p>
      <w:pPr>
        <w:pStyle w:val="Heading2"/>
        <w:spacing w:after="150" w:before="300"/>
      </w:pPr>
      <w:r>
        <w:rPr>
          <w:b/>
          <w:bCs/>
          <w:color w:val="2E5395"/>
          <w:sz w:val="25"/>
          <w:szCs w:val="25"/>
        </w:rPr>
        <w:t xml:space="preserve">3.1 Roles and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Role</w:t>
            </w:r>
          </w:p>
        </w:tc>
        <w:tc>
          <w:tcPr>
            <w:tcW w:type="dxa" w:w="6800"/>
            <w:shd w:fill="1F3864" w:val="clear"/>
            <w:tcMar>
              <w:top w:type="dxa" w:w="80"/>
              <w:left w:type="dxa" w:w="100"/>
              <w:bottom w:type="dxa" w:w="80"/>
              <w:right w:type="dxa" w:w="100"/>
            </w:tcMar>
            <w:vAlign w:val="center"/>
          </w:tcPr>
          <w:p>
            <w:pPr>
              <w:spacing w:after="40"/>
            </w:pPr>
            <w:r>
              <w:rPr>
                <w:b/>
                <w:bCs/>
                <w:color w:val="FFFFFF"/>
                <w:sz w:val="20"/>
                <w:szCs w:val="20"/>
              </w:rPr>
              <w:t xml:space="preserve">Key Responsibilities</w:t>
            </w:r>
          </w:p>
        </w:tc>
      </w:tr>
      <w:tr>
        <w:tc>
          <w:tcPr>
            <w:tcW w:type="dxa" w:w="2600"/>
            <w:tcMar>
              <w:top w:type="dxa" w:w="80"/>
              <w:left w:type="dxa" w:w="100"/>
              <w:bottom w:type="dxa" w:w="80"/>
              <w:right w:type="dxa" w:w="100"/>
            </w:tcMar>
          </w:tcPr>
          <w:p>
            <w:pPr>
              <w:spacing w:after="40"/>
            </w:pPr>
            <w:r>
              <w:rPr>
                <w:sz w:val="20"/>
                <w:szCs w:val="20"/>
              </w:rPr>
              <w:t xml:space="preserve">Board Risk &amp; Audit Committee</w:t>
            </w:r>
          </w:p>
        </w:tc>
        <w:tc>
          <w:tcPr>
            <w:tcW w:type="dxa" w:w="6800"/>
            <w:tcMar>
              <w:top w:type="dxa" w:w="80"/>
              <w:left w:type="dxa" w:w="100"/>
              <w:bottom w:type="dxa" w:w="80"/>
              <w:right w:type="dxa" w:w="100"/>
            </w:tcMar>
          </w:tcPr>
          <w:p>
            <w:pPr>
              <w:spacing w:after="40"/>
            </w:pPr>
            <w:r>
              <w:rPr>
                <w:sz w:val="20"/>
                <w:szCs w:val="20"/>
              </w:rPr>
              <w:t xml:space="preserve">Approves this Policy and the overall risk appetite; receives quarterly reporting on security posture, incidents, and audit outcomes.</w:t>
            </w:r>
          </w:p>
        </w:tc>
      </w:tr>
      <w:tr>
        <w:tc>
          <w:tcPr>
            <w:tcW w:type="dxa" w:w="2600"/>
            <w:tcMar>
              <w:top w:type="dxa" w:w="80"/>
              <w:left w:type="dxa" w:w="100"/>
              <w:bottom w:type="dxa" w:w="80"/>
              <w:right w:type="dxa" w:w="100"/>
            </w:tcMar>
          </w:tcPr>
          <w:p>
            <w:pPr>
              <w:spacing w:after="40"/>
            </w:pPr>
            <w:r>
              <w:rPr>
                <w:sz w:val="20"/>
                <w:szCs w:val="20"/>
              </w:rPr>
              <w:t xml:space="preserve">Chief Information Security Officer (CISO)</w:t>
            </w:r>
          </w:p>
        </w:tc>
        <w:tc>
          <w:tcPr>
            <w:tcW w:type="dxa" w:w="6800"/>
            <w:tcMar>
              <w:top w:type="dxa" w:w="80"/>
              <w:left w:type="dxa" w:w="100"/>
              <w:bottom w:type="dxa" w:w="80"/>
              <w:right w:type="dxa" w:w="100"/>
            </w:tcMar>
          </w:tcPr>
          <w:p>
            <w:pPr>
              <w:spacing w:after="40"/>
            </w:pPr>
            <w:r>
              <w:rPr>
                <w:sz w:val="20"/>
                <w:szCs w:val="20"/>
              </w:rPr>
              <w:t xml:space="preserve">Owns this Policy; leads the ISMS; approves security standards and exceptions; reports to the Board and Executive Committee.</w:t>
            </w:r>
          </w:p>
        </w:tc>
      </w:tr>
      <w:tr>
        <w:tc>
          <w:tcPr>
            <w:tcW w:type="dxa" w:w="2600"/>
            <w:tcMar>
              <w:top w:type="dxa" w:w="80"/>
              <w:left w:type="dxa" w:w="100"/>
              <w:bottom w:type="dxa" w:w="80"/>
              <w:right w:type="dxa" w:w="100"/>
            </w:tcMar>
          </w:tcPr>
          <w:p>
            <w:pPr>
              <w:spacing w:after="40"/>
            </w:pPr>
            <w:r>
              <w:rPr>
                <w:sz w:val="20"/>
                <w:szCs w:val="20"/>
              </w:rPr>
              <w:t xml:space="preserve">Information Officer (Data Protection)</w:t>
            </w:r>
          </w:p>
        </w:tc>
        <w:tc>
          <w:tcPr>
            <w:tcW w:type="dxa" w:w="6800"/>
            <w:tcMar>
              <w:top w:type="dxa" w:w="80"/>
              <w:left w:type="dxa" w:w="100"/>
              <w:bottom w:type="dxa" w:w="80"/>
              <w:right w:type="dxa" w:w="100"/>
            </w:tcMar>
          </w:tcPr>
          <w:p>
            <w:pPr>
              <w:spacing w:after="40"/>
            </w:pPr>
            <w:r>
              <w:rPr>
                <w:sz w:val="20"/>
                <w:szCs w:val="20"/>
              </w:rPr>
              <w:t xml:space="preserve">Oversees compliance with POPIA, applicable East African data protection laws, GDPR and other applicable data protection laws; manages data subject requests and regulator liaison; maintains records of processing activities.</w:t>
            </w:r>
          </w:p>
        </w:tc>
      </w:tr>
      <w:tr>
        <w:tc>
          <w:tcPr>
            <w:tcW w:type="dxa" w:w="2600"/>
            <w:tcMar>
              <w:top w:type="dxa" w:w="80"/>
              <w:left w:type="dxa" w:w="100"/>
              <w:bottom w:type="dxa" w:w="80"/>
              <w:right w:type="dxa" w:w="100"/>
            </w:tcMar>
          </w:tcPr>
          <w:p>
            <w:pPr>
              <w:spacing w:after="40"/>
            </w:pPr>
            <w:r>
              <w:rPr>
                <w:sz w:val="20"/>
                <w:szCs w:val="20"/>
              </w:rPr>
              <w:t xml:space="preserve">Regional IT/Security Leads</w:t>
            </w:r>
          </w:p>
        </w:tc>
        <w:tc>
          <w:tcPr>
            <w:tcW w:type="dxa" w:w="6800"/>
            <w:tcMar>
              <w:top w:type="dxa" w:w="80"/>
              <w:left w:type="dxa" w:w="100"/>
              <w:bottom w:type="dxa" w:w="80"/>
              <w:right w:type="dxa" w:w="100"/>
            </w:tcMar>
          </w:tcPr>
          <w:p>
            <w:pPr>
              <w:spacing w:after="40"/>
            </w:pPr>
            <w:r>
              <w:rPr>
                <w:sz w:val="20"/>
                <w:szCs w:val="20"/>
              </w:rPr>
              <w:t xml:space="preserve">Implement and enforce this Policy within their country of operation; escalate regional risks and incidents to the CISO; coordinate with local regulators as required.</w:t>
            </w:r>
          </w:p>
        </w:tc>
      </w:tr>
      <w:tr>
        <w:tc>
          <w:tcPr>
            <w:tcW w:type="dxa" w:w="2600"/>
            <w:tcMar>
              <w:top w:type="dxa" w:w="80"/>
              <w:left w:type="dxa" w:w="100"/>
              <w:bottom w:type="dxa" w:w="80"/>
              <w:right w:type="dxa" w:w="100"/>
            </w:tcMar>
          </w:tcPr>
          <w:p>
            <w:pPr>
              <w:spacing w:after="40"/>
            </w:pPr>
            <w:r>
              <w:rPr>
                <w:sz w:val="20"/>
                <w:szCs w:val="20"/>
              </w:rPr>
              <w:t xml:space="preserve">IT Operations</w:t>
            </w:r>
          </w:p>
        </w:tc>
        <w:tc>
          <w:tcPr>
            <w:tcW w:type="dxa" w:w="6800"/>
            <w:tcMar>
              <w:top w:type="dxa" w:w="80"/>
              <w:left w:type="dxa" w:w="100"/>
              <w:bottom w:type="dxa" w:w="80"/>
              <w:right w:type="dxa" w:w="100"/>
            </w:tcMar>
          </w:tcPr>
          <w:p>
            <w:pPr>
              <w:spacing w:after="40"/>
            </w:pPr>
            <w:r>
              <w:rPr>
                <w:sz w:val="20"/>
                <w:szCs w:val="20"/>
              </w:rPr>
              <w:t xml:space="preserve">Administer and secure the on-premise warehouse management system, corporate network, and endpoints; manage the shared-responsibility relationship with the cloud shipment tracking provider.</w:t>
            </w:r>
          </w:p>
        </w:tc>
      </w:tr>
      <w:tr>
        <w:tc>
          <w:tcPr>
            <w:tcW w:type="dxa" w:w="2600"/>
            <w:tcMar>
              <w:top w:type="dxa" w:w="80"/>
              <w:left w:type="dxa" w:w="100"/>
              <w:bottom w:type="dxa" w:w="80"/>
              <w:right w:type="dxa" w:w="100"/>
            </w:tcMar>
          </w:tcPr>
          <w:p>
            <w:pPr>
              <w:spacing w:after="40"/>
            </w:pPr>
            <w:r>
              <w:rPr>
                <w:sz w:val="20"/>
                <w:szCs w:val="20"/>
              </w:rPr>
              <w:t xml:space="preserve">Vendor &amp; Procurement Management</w:t>
            </w:r>
          </w:p>
        </w:tc>
        <w:tc>
          <w:tcPr>
            <w:tcW w:type="dxa" w:w="6800"/>
            <w:tcMar>
              <w:top w:type="dxa" w:w="80"/>
              <w:left w:type="dxa" w:w="100"/>
              <w:bottom w:type="dxa" w:w="80"/>
              <w:right w:type="dxa" w:w="100"/>
            </w:tcMar>
          </w:tcPr>
          <w:p>
            <w:pPr>
              <w:spacing w:after="40"/>
            </w:pPr>
            <w:r>
              <w:rPr>
                <w:sz w:val="20"/>
                <w:szCs w:val="20"/>
              </w:rPr>
              <w:t xml:space="preserve">Conduct due diligence on customs brokers, delivery contractors, and technology vendors; maintain the vendor risk register; ensure contracts include security and data protection clauses.</w:t>
            </w:r>
          </w:p>
        </w:tc>
      </w:tr>
      <w:tr>
        <w:tc>
          <w:tcPr>
            <w:tcW w:type="dxa" w:w="2600"/>
            <w:tcMar>
              <w:top w:type="dxa" w:w="80"/>
              <w:left w:type="dxa" w:w="100"/>
              <w:bottom w:type="dxa" w:w="80"/>
              <w:right w:type="dxa" w:w="100"/>
            </w:tcMar>
          </w:tcPr>
          <w:p>
            <w:pPr>
              <w:spacing w:after="40"/>
            </w:pPr>
            <w:r>
              <w:rPr>
                <w:sz w:val="20"/>
                <w:szCs w:val="20"/>
              </w:rPr>
              <w:t xml:space="preserve">All Employees, Brokers and Delivery Contractors</w:t>
            </w:r>
          </w:p>
        </w:tc>
        <w:tc>
          <w:tcPr>
            <w:tcW w:type="dxa" w:w="6800"/>
            <w:tcMar>
              <w:top w:type="dxa" w:w="80"/>
              <w:left w:type="dxa" w:w="100"/>
              <w:bottom w:type="dxa" w:w="80"/>
              <w:right w:type="dxa" w:w="100"/>
            </w:tcMar>
          </w:tcPr>
          <w:p>
            <w:pPr>
              <w:spacing w:after="40"/>
            </w:pPr>
            <w:r>
              <w:rPr>
                <w:sz w:val="20"/>
                <w:szCs w:val="20"/>
              </w:rPr>
              <w:t xml:space="preserve">Comply with this Policy and related procedures; complete mandatory security awareness training; report suspected incidents immediately.</w:t>
            </w:r>
          </w:p>
        </w:tc>
      </w:tr>
    </w:tbl>
    <w:p>
      <w:pPr>
        <w:pStyle w:val="Heading2"/>
        <w:spacing w:after="150" w:before="300"/>
      </w:pPr>
      <w:r>
        <w:rPr>
          <w:b/>
          <w:bCs/>
          <w:color w:val="2E5395"/>
          <w:sz w:val="25"/>
          <w:szCs w:val="25"/>
        </w:rPr>
        <w:t xml:space="preserve">3.2 Information Security Steering Committee</w:t>
      </w:r>
    </w:p>
    <w:p>
      <w:pPr>
        <w:spacing w:after="150" w:line="276"/>
      </w:pPr>
      <w:r>
        <w:rPr>
          <w:sz w:val="21"/>
          <w:szCs w:val="21"/>
        </w:rPr>
        <w:t xml:space="preserve">An Information Security Steering Committee (ISSC), chaired by the CISO and including the Information Officer, Regional IT/Security Leads, and senior representatives from Operations and Legal, will meet at minimum quarterly to review risk registers, incident trends, audit findings, and regional compliance status.</w:t>
      </w:r>
    </w:p>
    <w:p>
      <w:pPr>
        <w:pStyle w:val="Heading1"/>
        <w:pBdr>
          <w:bottom w:val="single" w:color="1F3864" w:sz="6" w:space="4"/>
        </w:pBdr>
        <w:spacing w:after="200" w:before="400"/>
      </w:pPr>
      <w:r>
        <w:rPr>
          <w:b/>
          <w:bCs/>
          <w:color w:val="1F3864"/>
          <w:sz w:val="30"/>
          <w:szCs w:val="30"/>
        </w:rPr>
        <w:t xml:space="preserve">4. Regulatory and Compliance Framework</w:t>
      </w:r>
    </w:p>
    <w:p>
      <w:pPr>
        <w:spacing w:after="150" w:line="276"/>
      </w:pPr>
      <w:r>
        <w:rPr>
          <w:sz w:val="21"/>
          <w:szCs w:val="21"/>
        </w:rPr>
        <w:t xml:space="preserve">Falcon Freight's multi-region footprint means that different regional operations are subject to overlapping legal regimes and recognised standards. The table below summarizes the primary frameworks governing this Policy.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shd w:fill="1F3864" w:val="clear"/>
            <w:tcMar>
              <w:top w:type="dxa" w:w="80"/>
              <w:left w:type="dxa" w:w="100"/>
              <w:bottom w:type="dxa" w:w="80"/>
              <w:right w:type="dxa" w:w="100"/>
            </w:tcMar>
            <w:vAlign w:val="center"/>
          </w:tcPr>
          <w:p>
            <w:pPr>
              <w:spacing w:after="40"/>
            </w:pPr>
            <w:r>
              <w:rPr>
                <w:b/>
                <w:bCs/>
                <w:color w:val="FFFFFF"/>
                <w:sz w:val="20"/>
                <w:szCs w:val="20"/>
              </w:rPr>
              <w:t xml:space="preserve">Framework</w:t>
            </w:r>
          </w:p>
        </w:tc>
        <w:tc>
          <w:tcPr>
            <w:tcW w:type="dxa" w:w="2800"/>
            <w:shd w:fill="1F3864" w:val="clear"/>
            <w:tcMar>
              <w:top w:type="dxa" w:w="80"/>
              <w:left w:type="dxa" w:w="100"/>
              <w:bottom w:type="dxa" w:w="80"/>
              <w:right w:type="dxa" w:w="100"/>
            </w:tcMar>
            <w:vAlign w:val="center"/>
          </w:tcPr>
          <w:p>
            <w:pPr>
              <w:spacing w:after="40"/>
            </w:pPr>
            <w:r>
              <w:rPr>
                <w:b/>
                <w:bCs/>
                <w:color w:val="FFFFFF"/>
                <w:sz w:val="20"/>
                <w:szCs w:val="20"/>
              </w:rPr>
              <w:t xml:space="preserve">Applicability</w:t>
            </w:r>
          </w:p>
        </w:tc>
        <w:tc>
          <w:tcPr>
            <w:tcW w:type="dxa" w:w="4600"/>
            <w:shd w:fill="1F3864" w:val="clear"/>
            <w:tcMar>
              <w:top w:type="dxa" w:w="80"/>
              <w:left w:type="dxa" w:w="100"/>
              <w:bottom w:type="dxa" w:w="80"/>
              <w:right w:type="dxa" w:w="100"/>
            </w:tcMar>
            <w:vAlign w:val="center"/>
          </w:tcPr>
          <w:p>
            <w:pPr>
              <w:spacing w:after="40"/>
            </w:pPr>
            <w:r>
              <w:rPr>
                <w:b/>
                <w:bCs/>
                <w:color w:val="FFFFFF"/>
                <w:sz w:val="20"/>
                <w:szCs w:val="20"/>
              </w:rPr>
              <w:t xml:space="preserve">Key Obligations</w:t>
            </w:r>
          </w:p>
        </w:tc>
      </w:tr>
      <w:tr>
        <w:tc>
          <w:tcPr>
            <w:tcW w:type="dxa" w:w="2000"/>
            <w:tcMar>
              <w:top w:type="dxa" w:w="80"/>
              <w:left w:type="dxa" w:w="100"/>
              <w:bottom w:type="dxa" w:w="80"/>
              <w:right w:type="dxa" w:w="100"/>
            </w:tcMar>
          </w:tcPr>
          <w:p>
            <w:pPr>
              <w:spacing w:after="40"/>
            </w:pPr>
            <w:r>
              <w:rPr>
                <w:sz w:val="20"/>
                <w:szCs w:val="20"/>
              </w:rPr>
              <w:t xml:space="preserve">ISO/IEC 27001:2022</w:t>
            </w:r>
          </w:p>
        </w:tc>
        <w:tc>
          <w:tcPr>
            <w:tcW w:type="dxa" w:w="2800"/>
            <w:tcMar>
              <w:top w:type="dxa" w:w="80"/>
              <w:left w:type="dxa" w:w="100"/>
              <w:bottom w:type="dxa" w:w="80"/>
              <w:right w:type="dxa" w:w="100"/>
            </w:tcMar>
          </w:tcPr>
          <w:p>
            <w:pPr>
              <w:spacing w:after="40"/>
            </w:pPr>
            <w:r>
              <w:rPr>
                <w:sz w:val="20"/>
                <w:szCs w:val="20"/>
              </w:rPr>
              <w:t xml:space="preserve">Group-wide ISMS standard</w:t>
            </w:r>
          </w:p>
        </w:tc>
        <w:tc>
          <w:tcPr>
            <w:tcW w:type="dxa" w:w="4600"/>
            <w:tcMar>
              <w:top w:type="dxa" w:w="80"/>
              <w:left w:type="dxa" w:w="100"/>
              <w:bottom w:type="dxa" w:w="80"/>
              <w:right w:type="dxa" w:w="100"/>
            </w:tcMar>
          </w:tcPr>
          <w:p>
            <w:pPr>
              <w:spacing w:after="40"/>
            </w:pPr>
            <w:r>
              <w:rPr>
                <w:sz w:val="20"/>
                <w:szCs w:val="20"/>
              </w:rPr>
              <w:t xml:space="preserve">Risk-based information security management, Statement of Applicability, continual improvement, internal/external audit.</w:t>
            </w:r>
          </w:p>
        </w:tc>
      </w:tr>
      <w:tr>
        <w:tc>
          <w:tcPr>
            <w:tcW w:type="dxa" w:w="2000"/>
            <w:tcMar>
              <w:top w:type="dxa" w:w="80"/>
              <w:left w:type="dxa" w:w="100"/>
              <w:bottom w:type="dxa" w:w="80"/>
              <w:right w:type="dxa" w:w="100"/>
            </w:tcMar>
          </w:tcPr>
          <w:p>
            <w:pPr>
              <w:spacing w:after="40"/>
            </w:pPr>
            <w:r>
              <w:rPr>
                <w:sz w:val="20"/>
                <w:szCs w:val="20"/>
              </w:rPr>
              <w:t xml:space="preserve">ISO 31000</w:t>
            </w:r>
          </w:p>
        </w:tc>
        <w:tc>
          <w:tcPr>
            <w:tcW w:type="dxa" w:w="2800"/>
            <w:tcMar>
              <w:top w:type="dxa" w:w="80"/>
              <w:left w:type="dxa" w:w="100"/>
              <w:bottom w:type="dxa" w:w="80"/>
              <w:right w:type="dxa" w:w="100"/>
            </w:tcMar>
          </w:tcPr>
          <w:p>
            <w:pPr>
              <w:spacing w:after="40"/>
            </w:pPr>
            <w:r>
              <w:rPr>
                <w:sz w:val="20"/>
                <w:szCs w:val="20"/>
              </w:rPr>
              <w:t xml:space="preserve">Group-wide risk management standard</w:t>
            </w:r>
          </w:p>
        </w:tc>
        <w:tc>
          <w:tcPr>
            <w:tcW w:type="dxa" w:w="4600"/>
            <w:tcMar>
              <w:top w:type="dxa" w:w="80"/>
              <w:left w:type="dxa" w:w="100"/>
              <w:bottom w:type="dxa" w:w="80"/>
              <w:right w:type="dxa" w:w="100"/>
            </w:tcMar>
          </w:tcPr>
          <w:p>
            <w:pPr>
              <w:spacing w:after="40"/>
            </w:pPr>
            <w:r>
              <w:rPr>
                <w:sz w:val="20"/>
                <w:szCs w:val="20"/>
              </w:rPr>
              <w:t xml:space="preserve">Structured risk identification, analysis, evaluation, and treatment; integration of risk management into governance and decision-making.</w:t>
            </w:r>
          </w:p>
        </w:tc>
      </w:tr>
      <w:tr>
        <w:tc>
          <w:tcPr>
            <w:tcW w:type="dxa" w:w="2000"/>
            <w:tcMar>
              <w:top w:type="dxa" w:w="80"/>
              <w:left w:type="dxa" w:w="100"/>
              <w:bottom w:type="dxa" w:w="80"/>
              <w:right w:type="dxa" w:w="100"/>
            </w:tcMar>
          </w:tcPr>
          <w:p>
            <w:pPr>
              <w:spacing w:after="40"/>
            </w:pPr>
            <w:r>
              <w:rPr>
                <w:sz w:val="20"/>
                <w:szCs w:val="20"/>
              </w:rPr>
              <w:t xml:space="preserve">NIST Cybersecurity Framework (CSF)</w:t>
            </w:r>
          </w:p>
        </w:tc>
        <w:tc>
          <w:tcPr>
            <w:tcW w:type="dxa" w:w="2800"/>
            <w:tcMar>
              <w:top w:type="dxa" w:w="80"/>
              <w:left w:type="dxa" w:w="100"/>
              <w:bottom w:type="dxa" w:w="80"/>
              <w:right w:type="dxa" w:w="100"/>
            </w:tcMar>
          </w:tcPr>
          <w:p>
            <w:pPr>
              <w:spacing w:after="40"/>
            </w:pPr>
            <w:r>
              <w:rPr>
                <w:sz w:val="20"/>
                <w:szCs w:val="20"/>
              </w:rPr>
              <w:t xml:space="preserve">Group-wide security controls baseline</w:t>
            </w:r>
          </w:p>
        </w:tc>
        <w:tc>
          <w:tcPr>
            <w:tcW w:type="dxa" w:w="4600"/>
            <w:tcMar>
              <w:top w:type="dxa" w:w="80"/>
              <w:left w:type="dxa" w:w="100"/>
              <w:bottom w:type="dxa" w:w="80"/>
              <w:right w:type="dxa" w:w="100"/>
            </w:tcMar>
          </w:tcPr>
          <w:p>
            <w:pPr>
              <w:spacing w:after="40"/>
            </w:pPr>
            <w:r>
              <w:rPr>
                <w:sz w:val="20"/>
                <w:szCs w:val="20"/>
              </w:rPr>
              <w:t xml:space="preserve">Identify, Protect, Detect, Respond, and Recover functions applied to Falcon Freight's hybrid infrastructure and vendor ecosystem.</w:t>
            </w:r>
          </w:p>
        </w:tc>
      </w:tr>
      <w:tr>
        <w:tc>
          <w:tcPr>
            <w:tcW w:type="dxa" w:w="2000"/>
            <w:tcMar>
              <w:top w:type="dxa" w:w="80"/>
              <w:left w:type="dxa" w:w="100"/>
              <w:bottom w:type="dxa" w:w="80"/>
              <w:right w:type="dxa" w:w="100"/>
            </w:tcMar>
          </w:tcPr>
          <w:p>
            <w:pPr>
              <w:spacing w:after="40"/>
            </w:pPr>
            <w:r>
              <w:rPr>
                <w:sz w:val="20"/>
                <w:szCs w:val="20"/>
              </w:rPr>
              <w:t xml:space="preserve">South Africa POPIA</w:t>
            </w:r>
          </w:p>
        </w:tc>
        <w:tc>
          <w:tcPr>
            <w:tcW w:type="dxa" w:w="2800"/>
            <w:tcMar>
              <w:top w:type="dxa" w:w="80"/>
              <w:left w:type="dxa" w:w="100"/>
              <w:bottom w:type="dxa" w:w="80"/>
              <w:right w:type="dxa" w:w="100"/>
            </w:tcMar>
          </w:tcPr>
          <w:p>
            <w:pPr>
              <w:spacing w:after="40"/>
            </w:pPr>
            <w:r>
              <w:rPr>
                <w:sz w:val="20"/>
                <w:szCs w:val="20"/>
              </w:rPr>
              <w:t xml:space="preserve">Head office and South African operations; extends to processing of South African data subjects' data</w:t>
            </w:r>
          </w:p>
        </w:tc>
        <w:tc>
          <w:tcPr>
            <w:tcW w:type="dxa" w:w="4600"/>
            <w:tcMar>
              <w:top w:type="dxa" w:w="80"/>
              <w:left w:type="dxa" w:w="100"/>
              <w:bottom w:type="dxa" w:w="80"/>
              <w:right w:type="dxa" w:w="100"/>
            </w:tcMar>
          </w:tcPr>
          <w:p>
            <w:pPr>
              <w:spacing w:after="40"/>
            </w:pPr>
            <w:r>
              <w:rPr>
                <w:sz w:val="20"/>
                <w:szCs w:val="20"/>
              </w:rPr>
              <w:t xml:space="preserve">Lawful basis for processing, data subject rights, registration with the Information Regulator, breach notification, cross-border transfer safeguards.</w:t>
            </w:r>
          </w:p>
        </w:tc>
      </w:tr>
      <w:tr>
        <w:tc>
          <w:tcPr>
            <w:tcW w:type="dxa" w:w="2000"/>
            <w:tcMar>
              <w:top w:type="dxa" w:w="80"/>
              <w:left w:type="dxa" w:w="100"/>
              <w:bottom w:type="dxa" w:w="80"/>
              <w:right w:type="dxa" w:w="100"/>
            </w:tcMar>
          </w:tcPr>
          <w:p>
            <w:pPr>
              <w:spacing w:after="40"/>
            </w:pPr>
            <w:r>
              <w:rPr>
                <w:sz w:val="20"/>
                <w:szCs w:val="20"/>
              </w:rPr>
              <w:t xml:space="preserve">EU GDPR</w:t>
            </w:r>
          </w:p>
        </w:tc>
        <w:tc>
          <w:tcPr>
            <w:tcW w:type="dxa" w:w="2800"/>
            <w:tcMar>
              <w:top w:type="dxa" w:w="80"/>
              <w:left w:type="dxa" w:w="100"/>
              <w:bottom w:type="dxa" w:w="80"/>
              <w:right w:type="dxa" w:w="100"/>
            </w:tcMar>
          </w:tcPr>
          <w:p>
            <w:pPr>
              <w:spacing w:after="40"/>
            </w:pPr>
            <w:r>
              <w:rPr>
                <w:sz w:val="20"/>
                <w:szCs w:val="20"/>
              </w:rPr>
              <w:t xml:space="preserve">Applies where Falcon Freight processes personal data of individuals in the EU, or offers services to EU-based clients/partners</w:t>
            </w:r>
          </w:p>
        </w:tc>
        <w:tc>
          <w:tcPr>
            <w:tcW w:type="dxa" w:w="4600"/>
            <w:tcMar>
              <w:top w:type="dxa" w:w="80"/>
              <w:left w:type="dxa" w:w="100"/>
              <w:bottom w:type="dxa" w:w="80"/>
              <w:right w:type="dxa" w:w="100"/>
            </w:tcMar>
          </w:tcPr>
          <w:p>
            <w:pPr>
              <w:spacing w:after="40"/>
            </w:pPr>
            <w:r>
              <w:rPr>
                <w:sz w:val="20"/>
                <w:szCs w:val="20"/>
              </w:rPr>
              <w:t xml:space="preserve">Lawfulness, purpose limitation, data minimization, cross-border transfer mechanisms (SCCs/adequacy), 72-hour breach notification, data subject rights.</w:t>
            </w:r>
          </w:p>
        </w:tc>
      </w:tr>
      <w:tr>
        <w:tc>
          <w:tcPr>
            <w:tcW w:type="dxa" w:w="2000"/>
            <w:tcMar>
              <w:top w:type="dxa" w:w="80"/>
              <w:left w:type="dxa" w:w="100"/>
              <w:bottom w:type="dxa" w:w="80"/>
              <w:right w:type="dxa" w:w="100"/>
            </w:tcMar>
          </w:tcPr>
          <w:p>
            <w:pPr>
              <w:spacing w:after="40"/>
            </w:pPr>
            <w:r>
              <w:rPr>
                <w:sz w:val="20"/>
                <w:szCs w:val="20"/>
              </w:rPr>
              <w:t xml:space="preserve">Other national laws (Southern/East Africa)</w:t>
            </w:r>
          </w:p>
        </w:tc>
        <w:tc>
          <w:tcPr>
            <w:tcW w:type="dxa" w:w="2800"/>
            <w:tcMar>
              <w:top w:type="dxa" w:w="80"/>
              <w:left w:type="dxa" w:w="100"/>
              <w:bottom w:type="dxa" w:w="80"/>
              <w:right w:type="dxa" w:w="100"/>
            </w:tcMar>
          </w:tcPr>
          <w:p>
            <w:pPr>
              <w:spacing w:after="40"/>
            </w:pPr>
            <w:r>
              <w:rPr>
                <w:sz w:val="20"/>
                <w:szCs w:val="20"/>
              </w:rPr>
              <w:t xml:space="preserve">Countries of current and future operation</w:t>
            </w:r>
          </w:p>
        </w:tc>
        <w:tc>
          <w:tcPr>
            <w:tcW w:type="dxa" w:w="4600"/>
            <w:tcMar>
              <w:top w:type="dxa" w:w="80"/>
              <w:left w:type="dxa" w:w="100"/>
              <w:bottom w:type="dxa" w:w="80"/>
              <w:right w:type="dxa" w:w="100"/>
            </w:tcMar>
          </w:tcPr>
          <w:p>
            <w:pPr>
              <w:spacing w:after="40"/>
            </w:pPr>
            <w:r>
              <w:rPr>
                <w:sz w:val="20"/>
                <w:szCs w:val="20"/>
              </w:rPr>
              <w:t xml:space="preserve">Local registration, data localization, and sector-specific (e.g., customs, transport) regulatory requirements as applicable.</w:t>
            </w:r>
          </w:p>
        </w:tc>
      </w:tr>
    </w:tbl>
    <w:p>
      <w:pPr>
        <w:spacing w:after="150" w:line="276"/>
      </w:pPr>
      <w:r>
        <w:rPr>
          <w:sz w:val="21"/>
          <w:szCs w:val="21"/>
        </w:rPr>
        <w:t xml:space="preserve">Where legal requirements conflict, Regional IT/Security Leads and the Information Officer will apply the standard that is most protective of the data subject, and will escalate irreconcilable conflicts to the CISO and Legal for a documented decision.</w:t>
      </w:r>
    </w:p>
    <w:p>
      <w:pPr>
        <w:pStyle w:val="Heading1"/>
        <w:pBdr>
          <w:bottom w:val="single" w:color="1F3864" w:sz="6" w:space="4"/>
        </w:pBdr>
        <w:spacing w:after="200" w:before="400"/>
      </w:pPr>
      <w:r>
        <w:rPr>
          <w:b/>
          <w:bCs/>
          <w:color w:val="1F3864"/>
          <w:sz w:val="30"/>
          <w:szCs w:val="30"/>
        </w:rPr>
        <w:t xml:space="preserve">5. Risk Management Approach</w:t>
      </w:r>
    </w:p>
    <w:p>
      <w:pPr>
        <w:spacing w:after="150" w:line="276"/>
      </w:pPr>
      <w:r>
        <w:rPr>
          <w:sz w:val="21"/>
          <w:szCs w:val="21"/>
        </w:rPr>
        <w:t xml:space="preserve">Falcon Freight maintains a formal risk management process aligned with ISO 31000 and ISO/IEC 27001:2022, consisting of: asset identification, threat and vulnerability assessment, risk evaluation against a defined risk appetite, treatment planning, and residual risk acceptance by an appropriately senior risk owner.</w:t>
      </w:r>
    </w:p>
    <w:p>
      <w:pPr>
        <w:pStyle w:val="ListParagraph"/>
        <w:numPr>
          <w:ilvl w:val="0"/>
          <w:numId w:val="1"/>
        </w:numPr>
        <w:spacing w:after="90" w:line="276"/>
      </w:pPr>
      <w:r>
        <w:rPr>
          <w:sz w:val="21"/>
          <w:szCs w:val="21"/>
        </w:rPr>
        <w:t xml:space="preserve">A Group-wide Risk Register is maintained by the CISO and reviewed quarterly by the ISSC.</w:t>
      </w:r>
    </w:p>
    <w:p>
      <w:pPr>
        <w:pStyle w:val="ListParagraph"/>
        <w:numPr>
          <w:ilvl w:val="0"/>
          <w:numId w:val="1"/>
        </w:numPr>
        <w:spacing w:after="90" w:line="276"/>
      </w:pPr>
      <w:r>
        <w:rPr>
          <w:sz w:val="21"/>
          <w:szCs w:val="21"/>
        </w:rPr>
        <w:t xml:space="preserve">Each region maintains a Regional Risk Addendum capturing country-specific threats (e.g., local infrastructure reliability, subcontractor maturity, regulatory volatility).</w:t>
      </w:r>
    </w:p>
    <w:p>
      <w:pPr>
        <w:pStyle w:val="ListParagraph"/>
        <w:numPr>
          <w:ilvl w:val="0"/>
          <w:numId w:val="1"/>
        </w:numPr>
        <w:spacing w:after="90" w:line="276"/>
      </w:pPr>
      <w:r>
        <w:rPr>
          <w:sz w:val="21"/>
          <w:szCs w:val="21"/>
        </w:rPr>
        <w:t xml:space="preserve">Risk assessments are mandatory prior to entering a new country of operation or onboarding a new category of third party.</w:t>
      </w:r>
    </w:p>
    <w:p>
      <w:pPr>
        <w:pStyle w:val="ListParagraph"/>
        <w:numPr>
          <w:ilvl w:val="0"/>
          <w:numId w:val="1"/>
        </w:numPr>
        <w:spacing w:after="90" w:line="276"/>
      </w:pPr>
      <w:r>
        <w:rPr>
          <w:sz w:val="21"/>
          <w:szCs w:val="21"/>
        </w:rPr>
        <w:t xml:space="preserve">High and critical risks require a documented treatment plan with an assigned owner and target closure date, reported to the Board Risk &amp; Audit Committee.</w:t>
      </w:r>
    </w:p>
    <w:p>
      <w:pPr>
        <w:pStyle w:val="Heading1"/>
        <w:pBdr>
          <w:bottom w:val="single" w:color="1F3864" w:sz="6" w:space="4"/>
        </w:pBdr>
        <w:spacing w:after="200" w:before="400"/>
      </w:pPr>
      <w:r>
        <w:rPr>
          <w:b/>
          <w:bCs/>
          <w:color w:val="1F3864"/>
          <w:sz w:val="30"/>
          <w:szCs w:val="30"/>
        </w:rPr>
        <w:t xml:space="preserve">6. Information Asset Classification and Handling</w:t>
      </w:r>
    </w:p>
    <w:p>
      <w:pPr>
        <w:spacing w:after="150" w:line="276"/>
      </w:pPr>
      <w:r>
        <w:rPr>
          <w:sz w:val="21"/>
          <w:szCs w:val="21"/>
        </w:rPr>
        <w:t xml:space="preserve">All information assets must be classified according to the scheme below, and handled according to the corresponding controls.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600"/>
      </w:tblGrid>
      <w:tr>
        <w:trPr>
          <w:tblHeader/>
        </w:trPr>
        <w:tc>
          <w:tcPr>
            <w:tcW w:type="dxa" w:w="1600"/>
            <w:shd w:fill="1F3864" w:val="clear"/>
            <w:tcMar>
              <w:top w:type="dxa" w:w="80"/>
              <w:left w:type="dxa" w:w="100"/>
              <w:bottom w:type="dxa" w:w="80"/>
              <w:right w:type="dxa" w:w="100"/>
            </w:tcMar>
            <w:vAlign w:val="center"/>
          </w:tcPr>
          <w:p>
            <w:pPr>
              <w:spacing w:after="40"/>
            </w:pPr>
            <w:r>
              <w:rPr>
                <w:b/>
                <w:bCs/>
                <w:color w:val="FFFFFF"/>
                <w:sz w:val="20"/>
                <w:szCs w:val="20"/>
              </w:rPr>
              <w:t xml:space="preserve">Classification</w:t>
            </w:r>
          </w:p>
        </w:tc>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Description</w:t>
            </w:r>
          </w:p>
        </w:tc>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Examples</w:t>
            </w:r>
          </w:p>
        </w:tc>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Minimum Controls</w:t>
            </w:r>
          </w:p>
        </w:tc>
      </w:tr>
      <w:tr>
        <w:tc>
          <w:tcPr>
            <w:tcW w:type="dxa" w:w="1600"/>
            <w:tcMar>
              <w:top w:type="dxa" w:w="80"/>
              <w:left w:type="dxa" w:w="100"/>
              <w:bottom w:type="dxa" w:w="80"/>
              <w:right w:type="dxa" w:w="100"/>
            </w:tcMar>
          </w:tcPr>
          <w:p>
            <w:pPr>
              <w:spacing w:after="40"/>
            </w:pPr>
            <w:r>
              <w:rPr>
                <w:sz w:val="20"/>
                <w:szCs w:val="20"/>
              </w:rPr>
              <w:t xml:space="preserve">Restricted</w:t>
            </w:r>
          </w:p>
        </w:tc>
        <w:tc>
          <w:tcPr>
            <w:tcW w:type="dxa" w:w="2600"/>
            <w:tcMar>
              <w:top w:type="dxa" w:w="80"/>
              <w:left w:type="dxa" w:w="100"/>
              <w:bottom w:type="dxa" w:w="80"/>
              <w:right w:type="dxa" w:w="100"/>
            </w:tcMar>
          </w:tcPr>
          <w:p>
            <w:pPr>
              <w:spacing w:after="40"/>
            </w:pPr>
            <w:r>
              <w:rPr>
                <w:sz w:val="20"/>
                <w:szCs w:val="20"/>
              </w:rPr>
              <w:t xml:space="preserve">Unauthorized disclosure would cause severe harm</w:t>
            </w:r>
          </w:p>
        </w:tc>
        <w:tc>
          <w:tcPr>
            <w:tcW w:type="dxa" w:w="2600"/>
            <w:tcMar>
              <w:top w:type="dxa" w:w="80"/>
              <w:left w:type="dxa" w:w="100"/>
              <w:bottom w:type="dxa" w:w="80"/>
              <w:right w:type="dxa" w:w="100"/>
            </w:tcMar>
          </w:tcPr>
          <w:p>
            <w:pPr>
              <w:spacing w:after="40"/>
            </w:pPr>
            <w:r>
              <w:rPr>
                <w:sz w:val="20"/>
                <w:szCs w:val="20"/>
              </w:rPr>
              <w:t xml:space="preserve">Customer personal data, payment details, encryption keys, DPIAs</w:t>
            </w:r>
          </w:p>
        </w:tc>
        <w:tc>
          <w:tcPr>
            <w:tcW w:type="dxa" w:w="2600"/>
            <w:tcMar>
              <w:top w:type="dxa" w:w="80"/>
              <w:left w:type="dxa" w:w="100"/>
              <w:bottom w:type="dxa" w:w="80"/>
              <w:right w:type="dxa" w:w="100"/>
            </w:tcMar>
          </w:tcPr>
          <w:p>
            <w:pPr>
              <w:spacing w:after="40"/>
            </w:pPr>
            <w:r>
              <w:rPr>
                <w:sz w:val="20"/>
                <w:szCs w:val="20"/>
              </w:rPr>
              <w:t xml:space="preserve">Encryption at rest and in transit; strict need-to-know access; logged access; no transfer to unmanaged devices.</w:t>
            </w:r>
          </w:p>
        </w:tc>
      </w:tr>
      <w:tr>
        <w:tc>
          <w:tcPr>
            <w:tcW w:type="dxa" w:w="1600"/>
            <w:tcMar>
              <w:top w:type="dxa" w:w="80"/>
              <w:left w:type="dxa" w:w="100"/>
              <w:bottom w:type="dxa" w:w="80"/>
              <w:right w:type="dxa" w:w="100"/>
            </w:tcMar>
          </w:tcPr>
          <w:p>
            <w:pPr>
              <w:spacing w:after="40"/>
            </w:pPr>
            <w:r>
              <w:rPr>
                <w:sz w:val="20"/>
                <w:szCs w:val="20"/>
              </w:rPr>
              <w:t xml:space="preserve">Confidential</w:t>
            </w:r>
          </w:p>
        </w:tc>
        <w:tc>
          <w:tcPr>
            <w:tcW w:type="dxa" w:w="2600"/>
            <w:tcMar>
              <w:top w:type="dxa" w:w="80"/>
              <w:left w:type="dxa" w:w="100"/>
              <w:bottom w:type="dxa" w:w="80"/>
              <w:right w:type="dxa" w:w="100"/>
            </w:tcMar>
          </w:tcPr>
          <w:p>
            <w:pPr>
              <w:spacing w:after="40"/>
            </w:pPr>
            <w:r>
              <w:rPr>
                <w:sz w:val="20"/>
                <w:szCs w:val="20"/>
              </w:rPr>
              <w:t xml:space="preserve">Unauthorized disclosure would cause significant business harm</w:t>
            </w:r>
          </w:p>
        </w:tc>
        <w:tc>
          <w:tcPr>
            <w:tcW w:type="dxa" w:w="2600"/>
            <w:tcMar>
              <w:top w:type="dxa" w:w="80"/>
              <w:left w:type="dxa" w:w="100"/>
              <w:bottom w:type="dxa" w:w="80"/>
              <w:right w:type="dxa" w:w="100"/>
            </w:tcMar>
          </w:tcPr>
          <w:p>
            <w:pPr>
              <w:spacing w:after="40"/>
            </w:pPr>
            <w:r>
              <w:rPr>
                <w:sz w:val="20"/>
                <w:szCs w:val="20"/>
              </w:rPr>
              <w:t xml:space="preserve">Shipment manifests, tracking data, contracts, vendor risk assessments</w:t>
            </w:r>
          </w:p>
        </w:tc>
        <w:tc>
          <w:tcPr>
            <w:tcW w:type="dxa" w:w="2600"/>
            <w:tcMar>
              <w:top w:type="dxa" w:w="80"/>
              <w:left w:type="dxa" w:w="100"/>
              <w:bottom w:type="dxa" w:w="80"/>
              <w:right w:type="dxa" w:w="100"/>
            </w:tcMar>
          </w:tcPr>
          <w:p>
            <w:pPr>
              <w:spacing w:after="40"/>
            </w:pPr>
            <w:r>
              <w:rPr>
                <w:sz w:val="20"/>
                <w:szCs w:val="20"/>
              </w:rPr>
              <w:t xml:space="preserve">Access control by role; encryption in transit; approved systems only.</w:t>
            </w:r>
          </w:p>
        </w:tc>
      </w:tr>
      <w:tr>
        <w:tc>
          <w:tcPr>
            <w:tcW w:type="dxa" w:w="1600"/>
            <w:tcMar>
              <w:top w:type="dxa" w:w="80"/>
              <w:left w:type="dxa" w:w="100"/>
              <w:bottom w:type="dxa" w:w="80"/>
              <w:right w:type="dxa" w:w="100"/>
            </w:tcMar>
          </w:tcPr>
          <w:p>
            <w:pPr>
              <w:spacing w:after="40"/>
            </w:pPr>
            <w:r>
              <w:rPr>
                <w:sz w:val="20"/>
                <w:szCs w:val="20"/>
              </w:rPr>
              <w:t xml:space="preserve">Internal</w:t>
            </w:r>
          </w:p>
        </w:tc>
        <w:tc>
          <w:tcPr>
            <w:tcW w:type="dxa" w:w="2600"/>
            <w:tcMar>
              <w:top w:type="dxa" w:w="80"/>
              <w:left w:type="dxa" w:w="100"/>
              <w:bottom w:type="dxa" w:w="80"/>
              <w:right w:type="dxa" w:w="100"/>
            </w:tcMar>
          </w:tcPr>
          <w:p>
            <w:pPr>
              <w:spacing w:after="40"/>
            </w:pPr>
            <w:r>
              <w:rPr>
                <w:sz w:val="20"/>
                <w:szCs w:val="20"/>
              </w:rPr>
              <w:t xml:space="preserve">For use within Falcon Freight and authorized partners only</w:t>
            </w:r>
          </w:p>
        </w:tc>
        <w:tc>
          <w:tcPr>
            <w:tcW w:type="dxa" w:w="2600"/>
            <w:tcMar>
              <w:top w:type="dxa" w:w="80"/>
              <w:left w:type="dxa" w:w="100"/>
              <w:bottom w:type="dxa" w:w="80"/>
              <w:right w:type="dxa" w:w="100"/>
            </w:tcMar>
          </w:tcPr>
          <w:p>
            <w:pPr>
              <w:spacing w:after="40"/>
            </w:pPr>
            <w:r>
              <w:rPr>
                <w:sz w:val="20"/>
                <w:szCs w:val="20"/>
              </w:rPr>
              <w:t xml:space="preserve">Internal procedures, non-sensitive operational reports</w:t>
            </w:r>
          </w:p>
        </w:tc>
        <w:tc>
          <w:tcPr>
            <w:tcW w:type="dxa" w:w="2600"/>
            <w:tcMar>
              <w:top w:type="dxa" w:w="80"/>
              <w:left w:type="dxa" w:w="100"/>
              <w:bottom w:type="dxa" w:w="80"/>
              <w:right w:type="dxa" w:w="100"/>
            </w:tcMar>
          </w:tcPr>
          <w:p>
            <w:pPr>
              <w:spacing w:after="40"/>
            </w:pPr>
            <w:r>
              <w:rPr>
                <w:sz w:val="20"/>
                <w:szCs w:val="20"/>
              </w:rPr>
              <w:t xml:space="preserve">Standard access controls; not for public disclosure.</w:t>
            </w:r>
          </w:p>
        </w:tc>
      </w:tr>
      <w:tr>
        <w:tc>
          <w:tcPr>
            <w:tcW w:type="dxa" w:w="1600"/>
            <w:tcMar>
              <w:top w:type="dxa" w:w="80"/>
              <w:left w:type="dxa" w:w="100"/>
              <w:bottom w:type="dxa" w:w="80"/>
              <w:right w:type="dxa" w:w="100"/>
            </w:tcMar>
          </w:tcPr>
          <w:p>
            <w:pPr>
              <w:spacing w:after="40"/>
            </w:pPr>
            <w:r>
              <w:rPr>
                <w:sz w:val="20"/>
                <w:szCs w:val="20"/>
              </w:rPr>
              <w:t xml:space="preserve">Public</w:t>
            </w:r>
          </w:p>
        </w:tc>
        <w:tc>
          <w:tcPr>
            <w:tcW w:type="dxa" w:w="2600"/>
            <w:tcMar>
              <w:top w:type="dxa" w:w="80"/>
              <w:left w:type="dxa" w:w="100"/>
              <w:bottom w:type="dxa" w:w="80"/>
              <w:right w:type="dxa" w:w="100"/>
            </w:tcMar>
          </w:tcPr>
          <w:p>
            <w:pPr>
              <w:spacing w:after="40"/>
            </w:pPr>
            <w:r>
              <w:rPr>
                <w:sz w:val="20"/>
                <w:szCs w:val="20"/>
              </w:rPr>
              <w:t xml:space="preserve">Approved for external release</w:t>
            </w:r>
          </w:p>
        </w:tc>
        <w:tc>
          <w:tcPr>
            <w:tcW w:type="dxa" w:w="2600"/>
            <w:tcMar>
              <w:top w:type="dxa" w:w="80"/>
              <w:left w:type="dxa" w:w="100"/>
              <w:bottom w:type="dxa" w:w="80"/>
              <w:right w:type="dxa" w:w="100"/>
            </w:tcMar>
          </w:tcPr>
          <w:p>
            <w:pPr>
              <w:spacing w:after="40"/>
            </w:pPr>
            <w:r>
              <w:rPr>
                <w:sz w:val="20"/>
                <w:szCs w:val="20"/>
              </w:rPr>
              <w:t xml:space="preserve">Marketing materials, public tariffs</w:t>
            </w:r>
          </w:p>
        </w:tc>
        <w:tc>
          <w:tcPr>
            <w:tcW w:type="dxa" w:w="2600"/>
            <w:tcMar>
              <w:top w:type="dxa" w:w="80"/>
              <w:left w:type="dxa" w:w="100"/>
              <w:bottom w:type="dxa" w:w="80"/>
              <w:right w:type="dxa" w:w="100"/>
            </w:tcMar>
          </w:tcPr>
          <w:p>
            <w:pPr>
              <w:spacing w:after="40"/>
            </w:pPr>
            <w:r>
              <w:rPr>
                <w:sz w:val="20"/>
                <w:szCs w:val="20"/>
              </w:rPr>
              <w:t xml:space="preserve">No special controls beyond standard integrity checks.</w:t>
            </w:r>
          </w:p>
        </w:tc>
      </w:tr>
    </w:tbl>
    <w:p>
      <w:pPr>
        <w:spacing w:after="150" w:line="276"/>
      </w:pPr>
      <w:r>
        <w:rPr>
          <w:sz w:val="21"/>
          <w:szCs w:val="21"/>
        </w:rPr>
        <w:t xml:space="preserve">Data classification labels must be applied at creation and reviewed whenever data is shared with a third party, transferred across borders, or migrated between systems.</w:t>
      </w:r>
    </w:p>
    <w:p>
      <w:pPr>
        <w:pStyle w:val="Heading1"/>
        <w:pBdr>
          <w:bottom w:val="single" w:color="1F3864" w:sz="6" w:space="4"/>
        </w:pBdr>
        <w:spacing w:after="200" w:before="400"/>
      </w:pPr>
      <w:r>
        <w:rPr>
          <w:b/>
          <w:bCs/>
          <w:color w:val="1F3864"/>
          <w:sz w:val="30"/>
          <w:szCs w:val="30"/>
        </w:rPr>
        <w:t xml:space="preserve">7. Access Control</w:t>
      </w:r>
    </w:p>
    <w:p>
      <w:pPr>
        <w:pStyle w:val="Heading2"/>
        <w:spacing w:after="150" w:before="300"/>
      </w:pPr>
      <w:r>
        <w:rPr>
          <w:b/>
          <w:bCs/>
          <w:color w:val="2E5395"/>
          <w:sz w:val="25"/>
          <w:szCs w:val="25"/>
        </w:rPr>
        <w:t xml:space="preserve">7.1 Principles</w:t>
      </w:r>
    </w:p>
    <w:p>
      <w:pPr>
        <w:pStyle w:val="ListParagraph"/>
        <w:numPr>
          <w:ilvl w:val="0"/>
          <w:numId w:val="1"/>
        </w:numPr>
        <w:spacing w:after="90" w:line="276"/>
      </w:pPr>
      <w:r>
        <w:rPr>
          <w:sz w:val="21"/>
          <w:szCs w:val="21"/>
        </w:rPr>
        <w:t xml:space="preserve">Access to all Falcon Freight systems is granted on the principle of least privilege and need-to-know.</w:t>
      </w:r>
    </w:p>
    <w:p>
      <w:pPr>
        <w:pStyle w:val="ListParagraph"/>
        <w:numPr>
          <w:ilvl w:val="0"/>
          <w:numId w:val="1"/>
        </w:numPr>
        <w:spacing w:after="90" w:line="276"/>
      </w:pPr>
      <w:r>
        <w:rPr>
          <w:sz w:val="21"/>
          <w:szCs w:val="21"/>
        </w:rPr>
        <w:t xml:space="preserve">Role-based access control (RBAC) is used across the shipment tracking system, the warehouse management system, and corporate applications.</w:t>
      </w:r>
    </w:p>
    <w:p>
      <w:pPr>
        <w:pStyle w:val="ListParagraph"/>
        <w:numPr>
          <w:ilvl w:val="0"/>
          <w:numId w:val="1"/>
        </w:numPr>
        <w:spacing w:after="90" w:line="276"/>
      </w:pPr>
      <w:r>
        <w:rPr>
          <w:sz w:val="21"/>
          <w:szCs w:val="21"/>
        </w:rPr>
        <w:t xml:space="preserve">Multi-factor authentication (MFA) is mandatory for all remote access, all administrative accounts, and all access to Restricted or Confidential data.</w:t>
      </w:r>
    </w:p>
    <w:p>
      <w:pPr>
        <w:pStyle w:val="ListParagraph"/>
        <w:numPr>
          <w:ilvl w:val="0"/>
          <w:numId w:val="1"/>
        </w:numPr>
        <w:spacing w:after="90" w:line="276"/>
      </w:pPr>
      <w:r>
        <w:rPr>
          <w:sz w:val="21"/>
          <w:szCs w:val="21"/>
        </w:rPr>
        <w:t xml:space="preserve">Access rights are reviewed at least every six months, and immediately upon role change or termination.</w:t>
      </w:r>
    </w:p>
    <w:p>
      <w:pPr>
        <w:pStyle w:val="ListParagraph"/>
        <w:numPr>
          <w:ilvl w:val="0"/>
          <w:numId w:val="1"/>
        </w:numPr>
        <w:spacing w:after="90" w:line="276"/>
      </w:pPr>
      <w:r>
        <w:rPr>
          <w:sz w:val="21"/>
          <w:szCs w:val="21"/>
        </w:rPr>
        <w:t xml:space="preserve">Third-party customs brokers and subcontracted delivery contractors are provisioned with the minimum access necessary to perform their function (e.g., delivery status updates, proof-of-delivery capture) and are never granted standing access to backend systems.</w:t>
      </w:r>
    </w:p>
    <w:p>
      <w:pPr>
        <w:pStyle w:val="Heading2"/>
        <w:spacing w:after="150" w:before="300"/>
      </w:pPr>
      <w:r>
        <w:rPr>
          <w:b/>
          <w:bCs/>
          <w:color w:val="2E5395"/>
          <w:sz w:val="25"/>
          <w:szCs w:val="25"/>
        </w:rPr>
        <w:t xml:space="preserve">7.2 Account Lifecycle</w:t>
      </w:r>
    </w:p>
    <w:p>
      <w:pPr>
        <w:spacing w:after="150" w:line="276"/>
      </w:pPr>
      <w:r>
        <w:rPr>
          <w:sz w:val="21"/>
          <w:szCs w:val="21"/>
        </w:rPr>
        <w:t xml:space="preserve">All account creation, modification, and deactivation requests must be logged and approved by the relevant system owner. Access for departing employees, contractors, brokers, or delivery contractors must be revoked within 24 hours of contract termination or offboarding notification.</w:t>
      </w:r>
    </w:p>
    <w:p>
      <w:pPr>
        <w:pStyle w:val="Heading1"/>
        <w:pBdr>
          <w:bottom w:val="single" w:color="1F3864" w:sz="6" w:space="4"/>
        </w:pBdr>
        <w:spacing w:after="200" w:before="400"/>
      </w:pPr>
      <w:r>
        <w:rPr>
          <w:b/>
          <w:bCs/>
          <w:color w:val="1F3864"/>
          <w:sz w:val="30"/>
          <w:szCs w:val="30"/>
        </w:rPr>
        <w:t xml:space="preserve">8. Security of Hybrid Infrastructure</w:t>
      </w:r>
    </w:p>
    <w:p>
      <w:pPr>
        <w:spacing w:after="150" w:line="276"/>
      </w:pPr>
      <w:r>
        <w:rPr>
          <w:sz w:val="21"/>
          <w:szCs w:val="21"/>
        </w:rPr>
        <w:t xml:space="preserve">Falcon Freight operates a hybrid infrastructure comprising a cloud-based shipment tracking platform, an on-premise warehouse management system, and network connectivity linking regional offices, warehouses, and mobile field devices used by delivery contractors and customs brokers. Security responsibilities differ by system, as set out below.</w:t>
      </w:r>
    </w:p>
    <w:p>
      <w:pPr>
        <w:pStyle w:val="Heading2"/>
        <w:spacing w:after="150" w:before="300"/>
      </w:pPr>
      <w:r>
        <w:rPr>
          <w:b/>
          <w:bCs/>
          <w:color w:val="2E5395"/>
          <w:sz w:val="25"/>
          <w:szCs w:val="25"/>
        </w:rPr>
        <w:t xml:space="preserve">8.1 Cloud-Based Shipment Tracking Platform — Shared Responsibility Model</w:t>
      </w:r>
    </w:p>
    <w:p>
      <w:pPr>
        <w:spacing w:after="150" w:line="276"/>
      </w:pPr>
      <w:r>
        <w:rPr>
          <w:sz w:val="21"/>
          <w:szCs w:val="21"/>
        </w:rPr>
        <w:t xml:space="preserve">The shipment tracking platform is operated under a shared responsibility model between Falcon Freight and the cloud service provider (CSP). Falcon Freight's Vendor &amp; Procurement Management function, together with IT Operations, must maintain a documented responsibility matrix confirming coverage of the areas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80"/>
              <w:left w:type="dxa" w:w="100"/>
              <w:bottom w:type="dxa" w:w="80"/>
              <w:right w:type="dxa" w:w="100"/>
            </w:tcMar>
            <w:vAlign w:val="center"/>
          </w:tcPr>
          <w:p>
            <w:pPr>
              <w:spacing w:after="40"/>
            </w:pPr>
            <w:r>
              <w:rPr>
                <w:b/>
                <w:bCs/>
                <w:color w:val="FFFFFF"/>
                <w:sz w:val="20"/>
                <w:szCs w:val="20"/>
              </w:rPr>
              <w:t xml:space="preserve">Responsibility Area</w:t>
            </w:r>
          </w:p>
        </w:tc>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Cloud Provider</w:t>
            </w:r>
          </w:p>
        </w:tc>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Falcon Freight</w:t>
            </w:r>
          </w:p>
        </w:tc>
      </w:tr>
      <w:tr>
        <w:tc>
          <w:tcPr>
            <w:tcW w:type="dxa" w:w="3800"/>
            <w:tcMar>
              <w:top w:type="dxa" w:w="80"/>
              <w:left w:type="dxa" w:w="100"/>
              <w:bottom w:type="dxa" w:w="80"/>
              <w:right w:type="dxa" w:w="100"/>
            </w:tcMar>
          </w:tcPr>
          <w:p>
            <w:pPr>
              <w:spacing w:after="40"/>
            </w:pPr>
            <w:r>
              <w:rPr>
                <w:sz w:val="20"/>
                <w:szCs w:val="20"/>
              </w:rPr>
              <w:t xml:space="preserve">Physical data center security</w:t>
            </w:r>
          </w:p>
        </w:tc>
        <w:tc>
          <w:tcPr>
            <w:tcW w:type="dxa" w:w="2600"/>
            <w:tcMar>
              <w:top w:type="dxa" w:w="80"/>
              <w:left w:type="dxa" w:w="100"/>
              <w:bottom w:type="dxa" w:w="80"/>
              <w:right w:type="dxa" w:w="100"/>
            </w:tcMar>
          </w:tcPr>
          <w:p>
            <w:pPr>
              <w:spacing w:after="40"/>
            </w:pPr>
            <w:r>
              <w:rPr>
                <w:sz w:val="20"/>
                <w:szCs w:val="20"/>
              </w:rPr>
              <w:t xml:space="preserve">✓</w:t>
            </w:r>
          </w:p>
        </w:tc>
        <w:tc>
          <w:tcPr>
            <w:tcW w:type="dxa" w:w="2600"/>
            <w:tcMar>
              <w:top w:type="dxa" w:w="80"/>
              <w:left w:type="dxa" w:w="100"/>
              <w:bottom w:type="dxa" w:w="80"/>
              <w:right w:type="dxa" w:w="100"/>
            </w:tcMar>
          </w:tcPr>
          <w:p>
            <w:pPr>
              <w:spacing w:after="40"/>
            </w:pPr>
            <w:r>
              <w:rPr>
                <w:sz w:val="20"/>
                <w:szCs w:val="20"/>
              </w:rPr>
              <w:t xml:space="preserve">—</w:t>
            </w:r>
          </w:p>
        </w:tc>
      </w:tr>
      <w:tr>
        <w:tc>
          <w:tcPr>
            <w:tcW w:type="dxa" w:w="3800"/>
            <w:tcMar>
              <w:top w:type="dxa" w:w="80"/>
              <w:left w:type="dxa" w:w="100"/>
              <w:bottom w:type="dxa" w:w="80"/>
              <w:right w:type="dxa" w:w="100"/>
            </w:tcMar>
          </w:tcPr>
          <w:p>
            <w:pPr>
              <w:spacing w:after="40"/>
            </w:pPr>
            <w:r>
              <w:rPr>
                <w:sz w:val="20"/>
                <w:szCs w:val="20"/>
              </w:rPr>
              <w:t xml:space="preserve">Infrastructure/hypervisor security &amp; patching</w:t>
            </w:r>
          </w:p>
        </w:tc>
        <w:tc>
          <w:tcPr>
            <w:tcW w:type="dxa" w:w="2600"/>
            <w:tcMar>
              <w:top w:type="dxa" w:w="80"/>
              <w:left w:type="dxa" w:w="100"/>
              <w:bottom w:type="dxa" w:w="80"/>
              <w:right w:type="dxa" w:w="100"/>
            </w:tcMar>
          </w:tcPr>
          <w:p>
            <w:pPr>
              <w:spacing w:after="40"/>
            </w:pPr>
            <w:r>
              <w:rPr>
                <w:sz w:val="20"/>
                <w:szCs w:val="20"/>
              </w:rPr>
              <w:t xml:space="preserve">✓</w:t>
            </w:r>
          </w:p>
        </w:tc>
        <w:tc>
          <w:tcPr>
            <w:tcW w:type="dxa" w:w="2600"/>
            <w:tcMar>
              <w:top w:type="dxa" w:w="80"/>
              <w:left w:type="dxa" w:w="100"/>
              <w:bottom w:type="dxa" w:w="80"/>
              <w:right w:type="dxa" w:w="100"/>
            </w:tcMar>
          </w:tcPr>
          <w:p>
            <w:pPr>
              <w:spacing w:after="40"/>
            </w:pPr>
            <w:r>
              <w:rPr>
                <w:sz w:val="20"/>
                <w:szCs w:val="20"/>
              </w:rPr>
              <w:t xml:space="preserve">Monitor via vendor attestations (e.g., SOC 2 / ISO 27001 reports)</w:t>
            </w:r>
          </w:p>
        </w:tc>
      </w:tr>
      <w:tr>
        <w:tc>
          <w:tcPr>
            <w:tcW w:type="dxa" w:w="3800"/>
            <w:tcMar>
              <w:top w:type="dxa" w:w="80"/>
              <w:left w:type="dxa" w:w="100"/>
              <w:bottom w:type="dxa" w:w="80"/>
              <w:right w:type="dxa" w:w="100"/>
            </w:tcMar>
          </w:tcPr>
          <w:p>
            <w:pPr>
              <w:spacing w:after="40"/>
            </w:pPr>
            <w:r>
              <w:rPr>
                <w:sz w:val="20"/>
                <w:szCs w:val="20"/>
              </w:rPr>
              <w:t xml:space="preserve">Platform availability (per SLA)</w:t>
            </w:r>
          </w:p>
        </w:tc>
        <w:tc>
          <w:tcPr>
            <w:tcW w:type="dxa" w:w="2600"/>
            <w:tcMar>
              <w:top w:type="dxa" w:w="80"/>
              <w:left w:type="dxa" w:w="100"/>
              <w:bottom w:type="dxa" w:w="80"/>
              <w:right w:type="dxa" w:w="100"/>
            </w:tcMar>
          </w:tcPr>
          <w:p>
            <w:pPr>
              <w:spacing w:after="40"/>
            </w:pPr>
            <w:r>
              <w:rPr>
                <w:sz w:val="20"/>
                <w:szCs w:val="20"/>
              </w:rPr>
              <w:t xml:space="preserve">✓</w:t>
            </w:r>
          </w:p>
        </w:tc>
        <w:tc>
          <w:tcPr>
            <w:tcW w:type="dxa" w:w="2600"/>
            <w:tcMar>
              <w:top w:type="dxa" w:w="80"/>
              <w:left w:type="dxa" w:w="100"/>
              <w:bottom w:type="dxa" w:w="80"/>
              <w:right w:type="dxa" w:w="100"/>
            </w:tcMar>
          </w:tcPr>
          <w:p>
            <w:pPr>
              <w:spacing w:after="40"/>
            </w:pPr>
            <w:r>
              <w:rPr>
                <w:sz w:val="20"/>
                <w:szCs w:val="20"/>
              </w:rPr>
              <w:t xml:space="preserve">Monitor SLA compliance; maintain contingency plan</w:t>
            </w:r>
          </w:p>
        </w:tc>
      </w:tr>
      <w:tr>
        <w:tc>
          <w:tcPr>
            <w:tcW w:type="dxa" w:w="3800"/>
            <w:tcMar>
              <w:top w:type="dxa" w:w="80"/>
              <w:left w:type="dxa" w:w="100"/>
              <w:bottom w:type="dxa" w:w="80"/>
              <w:right w:type="dxa" w:w="100"/>
            </w:tcMar>
          </w:tcPr>
          <w:p>
            <w:pPr>
              <w:spacing w:after="40"/>
            </w:pPr>
            <w:r>
              <w:rPr>
                <w:sz w:val="20"/>
                <w:szCs w:val="20"/>
              </w:rPr>
              <w:t xml:space="preserve">Application-level access control &amp; MFA</w:t>
            </w:r>
          </w:p>
        </w:tc>
        <w:tc>
          <w:tcPr>
            <w:tcW w:type="dxa" w:w="2600"/>
            <w:tcMar>
              <w:top w:type="dxa" w:w="80"/>
              <w:left w:type="dxa" w:w="100"/>
              <w:bottom w:type="dxa" w:w="80"/>
              <w:right w:type="dxa" w:w="100"/>
            </w:tcMar>
          </w:tcPr>
          <w:p>
            <w:pPr>
              <w:spacing w:after="40"/>
            </w:pPr>
            <w:r>
              <w:rPr>
                <w:sz w:val="20"/>
                <w:szCs w:val="20"/>
              </w:rPr>
              <w:t xml:space="preserve">Provides capability</w:t>
            </w:r>
          </w:p>
        </w:tc>
        <w:tc>
          <w:tcPr>
            <w:tcW w:type="dxa" w:w="2600"/>
            <w:tcMar>
              <w:top w:type="dxa" w:w="80"/>
              <w:left w:type="dxa" w:w="100"/>
              <w:bottom w:type="dxa" w:w="80"/>
              <w:right w:type="dxa" w:w="100"/>
            </w:tcMar>
          </w:tcPr>
          <w:p>
            <w:pPr>
              <w:spacing w:after="40"/>
            </w:pPr>
            <w:r>
              <w:rPr>
                <w:sz w:val="20"/>
                <w:szCs w:val="20"/>
              </w:rPr>
              <w:t xml:space="preserve">Configure and enforce</w:t>
            </w:r>
          </w:p>
        </w:tc>
      </w:tr>
      <w:tr>
        <w:tc>
          <w:tcPr>
            <w:tcW w:type="dxa" w:w="3800"/>
            <w:tcMar>
              <w:top w:type="dxa" w:w="80"/>
              <w:left w:type="dxa" w:w="100"/>
              <w:bottom w:type="dxa" w:w="80"/>
              <w:right w:type="dxa" w:w="100"/>
            </w:tcMar>
          </w:tcPr>
          <w:p>
            <w:pPr>
              <w:spacing w:after="40"/>
            </w:pPr>
            <w:r>
              <w:rPr>
                <w:sz w:val="20"/>
                <w:szCs w:val="20"/>
              </w:rPr>
              <w:t xml:space="preserve">User account provisioning/deprovisioning</w:t>
            </w:r>
          </w:p>
        </w:tc>
        <w:tc>
          <w:tcPr>
            <w:tcW w:type="dxa" w:w="2600"/>
            <w:tcMar>
              <w:top w:type="dxa" w:w="80"/>
              <w:left w:type="dxa" w:w="100"/>
              <w:bottom w:type="dxa" w:w="80"/>
              <w:right w:type="dxa" w:w="100"/>
            </w:tcMar>
          </w:tcPr>
          <w:p>
            <w:pPr>
              <w:spacing w:after="40"/>
            </w:pPr>
            <w:r>
              <w:rPr>
                <w:sz w:val="20"/>
                <w:szCs w:val="20"/>
              </w:rPr>
              <w:t xml:space="preserve">—</w:t>
            </w:r>
          </w:p>
        </w:tc>
        <w:tc>
          <w:tcPr>
            <w:tcW w:type="dxa" w:w="2600"/>
            <w:tcMar>
              <w:top w:type="dxa" w:w="80"/>
              <w:left w:type="dxa" w:w="100"/>
              <w:bottom w:type="dxa" w:w="80"/>
              <w:right w:type="dxa" w:w="100"/>
            </w:tcMar>
          </w:tcPr>
          <w:p>
            <w:pPr>
              <w:spacing w:after="40"/>
            </w:pPr>
            <w:r>
              <w:rPr>
                <w:sz w:val="20"/>
                <w:szCs w:val="20"/>
              </w:rPr>
              <w:t xml:space="preserve">✓</w:t>
            </w:r>
          </w:p>
        </w:tc>
      </w:tr>
      <w:tr>
        <w:tc>
          <w:tcPr>
            <w:tcW w:type="dxa" w:w="3800"/>
            <w:tcMar>
              <w:top w:type="dxa" w:w="80"/>
              <w:left w:type="dxa" w:w="100"/>
              <w:bottom w:type="dxa" w:w="80"/>
              <w:right w:type="dxa" w:w="100"/>
            </w:tcMar>
          </w:tcPr>
          <w:p>
            <w:pPr>
              <w:spacing w:after="40"/>
            </w:pPr>
            <w:r>
              <w:rPr>
                <w:sz w:val="20"/>
                <w:szCs w:val="20"/>
              </w:rPr>
              <w:t xml:space="preserve">Data classification and encryption configuration</w:t>
            </w:r>
          </w:p>
        </w:tc>
        <w:tc>
          <w:tcPr>
            <w:tcW w:type="dxa" w:w="2600"/>
            <w:tcMar>
              <w:top w:type="dxa" w:w="80"/>
              <w:left w:type="dxa" w:w="100"/>
              <w:bottom w:type="dxa" w:w="80"/>
              <w:right w:type="dxa" w:w="100"/>
            </w:tcMar>
          </w:tcPr>
          <w:p>
            <w:pPr>
              <w:spacing w:after="40"/>
            </w:pPr>
            <w:r>
              <w:rPr>
                <w:sz w:val="20"/>
                <w:szCs w:val="20"/>
              </w:rPr>
              <w:t xml:space="preserve">Provides capability</w:t>
            </w:r>
          </w:p>
        </w:tc>
        <w:tc>
          <w:tcPr>
            <w:tcW w:type="dxa" w:w="2600"/>
            <w:tcMar>
              <w:top w:type="dxa" w:w="80"/>
              <w:left w:type="dxa" w:w="100"/>
              <w:bottom w:type="dxa" w:w="80"/>
              <w:right w:type="dxa" w:w="100"/>
            </w:tcMar>
          </w:tcPr>
          <w:p>
            <w:pPr>
              <w:spacing w:after="40"/>
            </w:pPr>
            <w:r>
              <w:rPr>
                <w:sz w:val="20"/>
                <w:szCs w:val="20"/>
              </w:rPr>
              <w:t xml:space="preserve">Configure and verify</w:t>
            </w:r>
          </w:p>
        </w:tc>
      </w:tr>
      <w:tr>
        <w:tc>
          <w:tcPr>
            <w:tcW w:type="dxa" w:w="3800"/>
            <w:tcMar>
              <w:top w:type="dxa" w:w="80"/>
              <w:left w:type="dxa" w:w="100"/>
              <w:bottom w:type="dxa" w:w="80"/>
              <w:right w:type="dxa" w:w="100"/>
            </w:tcMar>
          </w:tcPr>
          <w:p>
            <w:pPr>
              <w:spacing w:after="40"/>
            </w:pPr>
            <w:r>
              <w:rPr>
                <w:sz w:val="20"/>
                <w:szCs w:val="20"/>
              </w:rPr>
              <w:t xml:space="preserve">Data backup of Falcon Freight-owned data exports</w:t>
            </w:r>
          </w:p>
        </w:tc>
        <w:tc>
          <w:tcPr>
            <w:tcW w:type="dxa" w:w="2600"/>
            <w:tcMar>
              <w:top w:type="dxa" w:w="80"/>
              <w:left w:type="dxa" w:w="100"/>
              <w:bottom w:type="dxa" w:w="80"/>
              <w:right w:type="dxa" w:w="100"/>
            </w:tcMar>
          </w:tcPr>
          <w:p>
            <w:pPr>
              <w:spacing w:after="40"/>
            </w:pPr>
            <w:r>
              <w:rPr>
                <w:sz w:val="20"/>
                <w:szCs w:val="20"/>
              </w:rPr>
              <w:t xml:space="preserve">Provides capability</w:t>
            </w:r>
          </w:p>
        </w:tc>
        <w:tc>
          <w:tcPr>
            <w:tcW w:type="dxa" w:w="2600"/>
            <w:tcMar>
              <w:top w:type="dxa" w:w="80"/>
              <w:left w:type="dxa" w:w="100"/>
              <w:bottom w:type="dxa" w:w="80"/>
              <w:right w:type="dxa" w:w="100"/>
            </w:tcMar>
          </w:tcPr>
          <w:p>
            <w:pPr>
              <w:spacing w:after="40"/>
            </w:pPr>
            <w:r>
              <w:rPr>
                <w:sz w:val="20"/>
                <w:szCs w:val="20"/>
              </w:rPr>
              <w:t xml:space="preserve">Verify and test</w:t>
            </w:r>
          </w:p>
        </w:tc>
      </w:tr>
      <w:tr>
        <w:tc>
          <w:tcPr>
            <w:tcW w:type="dxa" w:w="3800"/>
            <w:tcMar>
              <w:top w:type="dxa" w:w="80"/>
              <w:left w:type="dxa" w:w="100"/>
              <w:bottom w:type="dxa" w:w="80"/>
              <w:right w:type="dxa" w:w="100"/>
            </w:tcMar>
          </w:tcPr>
          <w:p>
            <w:pPr>
              <w:spacing w:after="40"/>
            </w:pPr>
            <w:r>
              <w:rPr>
                <w:sz w:val="20"/>
                <w:szCs w:val="20"/>
              </w:rPr>
              <w:t xml:space="preserve">Incident detection on Falcon Freight's usage/configuration</w:t>
            </w:r>
          </w:p>
        </w:tc>
        <w:tc>
          <w:tcPr>
            <w:tcW w:type="dxa" w:w="2600"/>
            <w:tcMar>
              <w:top w:type="dxa" w:w="80"/>
              <w:left w:type="dxa" w:w="100"/>
              <w:bottom w:type="dxa" w:w="80"/>
              <w:right w:type="dxa" w:w="100"/>
            </w:tcMar>
          </w:tcPr>
          <w:p>
            <w:pPr>
              <w:spacing w:after="40"/>
            </w:pPr>
            <w:r>
              <w:rPr>
                <w:sz w:val="20"/>
                <w:szCs w:val="20"/>
              </w:rPr>
              <w:t xml:space="preserve">Shared</w:t>
            </w:r>
          </w:p>
        </w:tc>
        <w:tc>
          <w:tcPr>
            <w:tcW w:type="dxa" w:w="2600"/>
            <w:tcMar>
              <w:top w:type="dxa" w:w="80"/>
              <w:left w:type="dxa" w:w="100"/>
              <w:bottom w:type="dxa" w:w="80"/>
              <w:right w:type="dxa" w:w="100"/>
            </w:tcMar>
          </w:tcPr>
          <w:p>
            <w:pPr>
              <w:spacing w:after="40"/>
            </w:pPr>
            <w:r>
              <w:rPr>
                <w:sz w:val="20"/>
                <w:szCs w:val="20"/>
              </w:rPr>
              <w:t xml:space="preserve">Primary</w:t>
            </w:r>
          </w:p>
        </w:tc>
      </w:tr>
      <w:tr>
        <w:tc>
          <w:tcPr>
            <w:tcW w:type="dxa" w:w="3800"/>
            <w:tcMar>
              <w:top w:type="dxa" w:w="80"/>
              <w:left w:type="dxa" w:w="100"/>
              <w:bottom w:type="dxa" w:w="80"/>
              <w:right w:type="dxa" w:w="100"/>
            </w:tcMar>
          </w:tcPr>
          <w:p>
            <w:pPr>
              <w:spacing w:after="40"/>
            </w:pPr>
            <w:r>
              <w:rPr>
                <w:sz w:val="20"/>
                <w:szCs w:val="20"/>
              </w:rPr>
              <w:t xml:space="preserve">Contractual/DPA compliance (data protection addendum)</w:t>
            </w:r>
          </w:p>
        </w:tc>
        <w:tc>
          <w:tcPr>
            <w:tcW w:type="dxa" w:w="2600"/>
            <w:tcMar>
              <w:top w:type="dxa" w:w="80"/>
              <w:left w:type="dxa" w:w="100"/>
              <w:bottom w:type="dxa" w:w="80"/>
              <w:right w:type="dxa" w:w="100"/>
            </w:tcMar>
          </w:tcPr>
          <w:p>
            <w:pPr>
              <w:spacing w:after="40"/>
            </w:pPr>
            <w:r>
              <w:rPr>
                <w:sz w:val="20"/>
                <w:szCs w:val="20"/>
              </w:rPr>
              <w:t xml:space="preserve">Provides terms</w:t>
            </w:r>
          </w:p>
        </w:tc>
        <w:tc>
          <w:tcPr>
            <w:tcW w:type="dxa" w:w="2600"/>
            <w:tcMar>
              <w:top w:type="dxa" w:w="80"/>
              <w:left w:type="dxa" w:w="100"/>
              <w:bottom w:type="dxa" w:w="80"/>
              <w:right w:type="dxa" w:w="100"/>
            </w:tcMar>
          </w:tcPr>
          <w:p>
            <w:pPr>
              <w:spacing w:after="40"/>
            </w:pPr>
            <w:r>
              <w:rPr>
                <w:sz w:val="20"/>
                <w:szCs w:val="20"/>
              </w:rPr>
              <w:t xml:space="preserve">Negotiate, review annually</w:t>
            </w:r>
          </w:p>
        </w:tc>
      </w:tr>
    </w:tbl>
    <w:p>
      <w:pPr>
        <w:spacing w:after="150" w:line="276"/>
      </w:pPr>
      <w:r>
        <w:rPr>
          <w:sz w:val="21"/>
          <w:szCs w:val="21"/>
        </w:rPr>
        <w:t xml:space="preserve">Falcon Freight will obtain and review, at least annually, the CSP's independent security certifications (e.g., ISO/IEC 27001, SOC 2 Type II) and will maintain a signed Data Processing Agreement (DPA) with the CSP covering data location, sub-processors, breach notification timelines, and audit rights.</w:t>
      </w:r>
    </w:p>
    <w:p>
      <w:pPr>
        <w:pStyle w:val="Heading2"/>
        <w:spacing w:after="150" w:before="300"/>
      </w:pPr>
      <w:r>
        <w:rPr>
          <w:b/>
          <w:bCs/>
          <w:color w:val="2E5395"/>
          <w:sz w:val="25"/>
          <w:szCs w:val="25"/>
        </w:rPr>
        <w:t xml:space="preserve">8.2 On-Premise Warehouse Management System — Full Security Responsibility</w:t>
      </w:r>
    </w:p>
    <w:p>
      <w:pPr>
        <w:spacing w:after="150" w:line="276"/>
      </w:pPr>
      <w:r>
        <w:rPr>
          <w:sz w:val="21"/>
          <w:szCs w:val="21"/>
        </w:rPr>
        <w:t xml:space="preserve">Unlike the cloud shipment tracking platform, the on-premise warehouse management system is hosted and operated entirely within Falcon Freight's own infrastructure. Falcon Freight bears full, undivided responsibility for its security, including:</w:t>
      </w:r>
    </w:p>
    <w:p>
      <w:pPr>
        <w:pStyle w:val="ListParagraph"/>
        <w:numPr>
          <w:ilvl w:val="0"/>
          <w:numId w:val="1"/>
        </w:numPr>
        <w:spacing w:after="90" w:line="276"/>
      </w:pPr>
      <w:r>
        <w:rPr>
          <w:sz w:val="21"/>
          <w:szCs w:val="21"/>
        </w:rPr>
        <w:t xml:space="preserve">Physical security of server rooms and warehouse data closets (access control, CCTV, environmental controls).</w:t>
      </w:r>
    </w:p>
    <w:p>
      <w:pPr>
        <w:pStyle w:val="ListParagraph"/>
        <w:numPr>
          <w:ilvl w:val="0"/>
          <w:numId w:val="1"/>
        </w:numPr>
        <w:spacing w:after="90" w:line="276"/>
      </w:pPr>
      <w:r>
        <w:rPr>
          <w:sz w:val="21"/>
          <w:szCs w:val="21"/>
        </w:rPr>
        <w:t xml:space="preserve">Operating system, database, and application patch management on a defined maintenance schedule.</w:t>
      </w:r>
    </w:p>
    <w:p>
      <w:pPr>
        <w:pStyle w:val="ListParagraph"/>
        <w:numPr>
          <w:ilvl w:val="0"/>
          <w:numId w:val="1"/>
        </w:numPr>
        <w:spacing w:after="90" w:line="276"/>
      </w:pPr>
      <w:r>
        <w:rPr>
          <w:sz w:val="21"/>
          <w:szCs w:val="21"/>
        </w:rPr>
        <w:t xml:space="preserve">Network segmentation isolating the warehouse system from general corporate and guest networks.</w:t>
      </w:r>
    </w:p>
    <w:p>
      <w:pPr>
        <w:pStyle w:val="ListParagraph"/>
        <w:numPr>
          <w:ilvl w:val="0"/>
          <w:numId w:val="1"/>
        </w:numPr>
        <w:spacing w:after="90" w:line="276"/>
      </w:pPr>
      <w:r>
        <w:rPr>
          <w:sz w:val="21"/>
          <w:szCs w:val="21"/>
        </w:rPr>
        <w:t xml:space="preserve">Encryption of data at rest and in transit, including any synchronization with the cloud shipment tracking platform or head-office systems.</w:t>
      </w:r>
    </w:p>
    <w:p>
      <w:pPr>
        <w:pStyle w:val="ListParagraph"/>
        <w:numPr>
          <w:ilvl w:val="0"/>
          <w:numId w:val="1"/>
        </w:numPr>
        <w:spacing w:after="90" w:line="276"/>
      </w:pPr>
      <w:r>
        <w:rPr>
          <w:sz w:val="21"/>
          <w:szCs w:val="21"/>
        </w:rPr>
        <w:t xml:space="preserve">Full backup and disaster recovery coverage, with backups tested at least quarterly and at least one copy stored offsite or in an isolated environment (protection against ransomware).</w:t>
      </w:r>
    </w:p>
    <w:p>
      <w:pPr>
        <w:pStyle w:val="ListParagraph"/>
        <w:numPr>
          <w:ilvl w:val="0"/>
          <w:numId w:val="1"/>
        </w:numPr>
        <w:spacing w:after="90" w:line="276"/>
      </w:pPr>
      <w:r>
        <w:rPr>
          <w:sz w:val="21"/>
          <w:szCs w:val="21"/>
        </w:rPr>
        <w:t xml:space="preserve">Endpoint protection and logging on all servers and terminals connected to the system, with logs retained for a minimum of 12 months.</w:t>
      </w:r>
    </w:p>
    <w:p>
      <w:pPr>
        <w:pStyle w:val="Heading2"/>
        <w:spacing w:after="150" w:before="300"/>
      </w:pPr>
      <w:r>
        <w:rPr>
          <w:b/>
          <w:bCs/>
          <w:color w:val="2E5395"/>
          <w:sz w:val="25"/>
          <w:szCs w:val="25"/>
        </w:rPr>
        <w:t xml:space="preserve">8.3 Network and Field Connectivity</w:t>
      </w:r>
    </w:p>
    <w:p>
      <w:pPr>
        <w:pStyle w:val="ListParagraph"/>
        <w:numPr>
          <w:ilvl w:val="0"/>
          <w:numId w:val="1"/>
        </w:numPr>
        <w:spacing w:after="90" w:line="276"/>
      </w:pPr>
      <w:r>
        <w:rPr>
          <w:sz w:val="21"/>
          <w:szCs w:val="21"/>
        </w:rPr>
        <w:t xml:space="preserve">All regional offices and warehouses connect via secured, monitored links; site-to-site VPNs or equivalent encrypted tunnels are mandatory for any inter-office transfer of Confidential or Restricted data.</w:t>
      </w:r>
    </w:p>
    <w:p>
      <w:pPr>
        <w:pStyle w:val="ListParagraph"/>
        <w:numPr>
          <w:ilvl w:val="0"/>
          <w:numId w:val="1"/>
        </w:numPr>
        <w:spacing w:after="90" w:line="276"/>
      </w:pPr>
      <w:r>
        <w:rPr>
          <w:sz w:val="21"/>
          <w:szCs w:val="21"/>
        </w:rPr>
        <w:t xml:space="preserve">Mobile devices used by delivery contractors and field agents for tracking, proof-of-delivery, or customs documentation must be enrolled in a mobile device management (MDM) solution, enforce device encryption and passcode/biometric lock, and support remote wipe.</w:t>
      </w:r>
    </w:p>
    <w:p>
      <w:pPr>
        <w:pStyle w:val="ListParagraph"/>
        <w:numPr>
          <w:ilvl w:val="0"/>
          <w:numId w:val="1"/>
        </w:numPr>
        <w:spacing w:after="90" w:line="276"/>
      </w:pPr>
      <w:r>
        <w:rPr>
          <w:sz w:val="21"/>
          <w:szCs w:val="21"/>
        </w:rPr>
        <w:t xml:space="preserve">Personally-owned devices (BYOD) accessing Falcon Freight systems must meet minimum security baselines defined in the Acceptable Use Standard before being granted access.</w:t>
      </w:r>
    </w:p>
    <w:p>
      <w:pPr>
        <w:pStyle w:val="Heading1"/>
        <w:pBdr>
          <w:bottom w:val="single" w:color="1F3864" w:sz="6" w:space="4"/>
        </w:pBdr>
        <w:spacing w:after="200" w:before="400"/>
      </w:pPr>
      <w:r>
        <w:rPr>
          <w:b/>
          <w:bCs/>
          <w:color w:val="1F3864"/>
          <w:sz w:val="30"/>
          <w:szCs w:val="30"/>
        </w:rPr>
        <w:t xml:space="preserve">9. Third-Party, Vendor and Subcontractor Security</w:t>
      </w:r>
    </w:p>
    <w:p>
      <w:pPr>
        <w:spacing w:after="150" w:line="276"/>
      </w:pPr>
      <w:r>
        <w:rPr>
          <w:sz w:val="21"/>
          <w:szCs w:val="21"/>
        </w:rPr>
        <w:t xml:space="preserve">Falcon Freight's reliance on a network of third-party customs brokers and subcontracted delivery contractors across multiple countries is a defining feature of its risk profile. This section establishes minimum standards for onboarding, contracting, and monitoring all such parties.</w:t>
      </w:r>
    </w:p>
    <w:p>
      <w:pPr>
        <w:pStyle w:val="Heading2"/>
        <w:spacing w:after="150" w:before="300"/>
      </w:pPr>
      <w:r>
        <w:rPr>
          <w:b/>
          <w:bCs/>
          <w:color w:val="2E5395"/>
          <w:sz w:val="25"/>
          <w:szCs w:val="25"/>
        </w:rPr>
        <w:t xml:space="preserve">9.1 Due Diligence and Onboarding</w:t>
      </w:r>
    </w:p>
    <w:p>
      <w:pPr>
        <w:pStyle w:val="ListParagraph"/>
        <w:numPr>
          <w:ilvl w:val="0"/>
          <w:numId w:val="1"/>
        </w:numPr>
        <w:spacing w:after="90" w:line="276"/>
      </w:pPr>
      <w:r>
        <w:rPr>
          <w:sz w:val="21"/>
          <w:szCs w:val="21"/>
        </w:rPr>
        <w:t xml:space="preserve">All prospective customs brokers, delivery subcontractors, and technology vendors must undergo a documented risk-based due diligence assessment prior to onboarding, covering security practices, data handling capability, and (where relevant) financial and regulatory standing.</w:t>
      </w:r>
    </w:p>
    <w:p>
      <w:pPr>
        <w:pStyle w:val="ListParagraph"/>
        <w:numPr>
          <w:ilvl w:val="0"/>
          <w:numId w:val="1"/>
        </w:numPr>
        <w:spacing w:after="90" w:line="276"/>
      </w:pPr>
      <w:r>
        <w:rPr>
          <w:sz w:val="21"/>
          <w:szCs w:val="21"/>
        </w:rPr>
        <w:t xml:space="preserve">Vendors and brokers handling Confidential or Restricted data must complete a security questionnaire and, for higher-risk engagements, provide evidence of independent certification or be subject to an on-site or remote assessment.</w:t>
      </w:r>
    </w:p>
    <w:p>
      <w:pPr>
        <w:pStyle w:val="ListParagraph"/>
        <w:numPr>
          <w:ilvl w:val="0"/>
          <w:numId w:val="1"/>
        </w:numPr>
        <w:spacing w:after="90" w:line="276"/>
      </w:pPr>
      <w:r>
        <w:rPr>
          <w:sz w:val="21"/>
          <w:szCs w:val="21"/>
        </w:rPr>
        <w:t xml:space="preserve">A central Vendor and Third-Party Risk Register, maintained by Procurement in coordination with the CISO, must record risk tier, country of operation, data accessed, and contract renewal/review dates for every third party.</w:t>
      </w:r>
    </w:p>
    <w:p>
      <w:pPr>
        <w:pStyle w:val="Heading2"/>
        <w:spacing w:after="150" w:before="300"/>
      </w:pPr>
      <w:r>
        <w:rPr>
          <w:b/>
          <w:bCs/>
          <w:color w:val="2E5395"/>
          <w:sz w:val="25"/>
          <w:szCs w:val="25"/>
        </w:rPr>
        <w:t xml:space="preserve">9.2 Contractual Requirements</w:t>
      </w:r>
    </w:p>
    <w:p>
      <w:pPr>
        <w:spacing w:after="150" w:line="276"/>
      </w:pPr>
      <w:r>
        <w:rPr>
          <w:sz w:val="21"/>
          <w:szCs w:val="21"/>
        </w:rPr>
        <w:t xml:space="preserve">All contracts with customs brokers, subcontracted delivery contractors, and vendors that involve access to Falcon Freight or customer data must include, at minimum:</w:t>
      </w:r>
    </w:p>
    <w:p>
      <w:pPr>
        <w:pStyle w:val="ListParagraph"/>
        <w:numPr>
          <w:ilvl w:val="0"/>
          <w:numId w:val="1"/>
        </w:numPr>
        <w:spacing w:after="90" w:line="276"/>
      </w:pPr>
      <w:r>
        <w:rPr>
          <w:sz w:val="21"/>
          <w:szCs w:val="21"/>
        </w:rPr>
        <w:t xml:space="preserve">A confidentiality and data protection clause consistent with POPIA, applicable East African data protection laws, and GDPR, as applicable to the relationship.</w:t>
      </w:r>
    </w:p>
    <w:p>
      <w:pPr>
        <w:pStyle w:val="ListParagraph"/>
        <w:numPr>
          <w:ilvl w:val="0"/>
          <w:numId w:val="1"/>
        </w:numPr>
        <w:spacing w:after="90" w:line="276"/>
      </w:pPr>
      <w:r>
        <w:rPr>
          <w:sz w:val="21"/>
          <w:szCs w:val="21"/>
        </w:rPr>
        <w:t xml:space="preserve">A Data Processing Agreement (DPA) where the third party processes personal data on Falcon Freight's behalf, defining purpose, retention, sub-processing restrictions, and audit rights.</w:t>
      </w:r>
    </w:p>
    <w:p>
      <w:pPr>
        <w:pStyle w:val="ListParagraph"/>
        <w:numPr>
          <w:ilvl w:val="0"/>
          <w:numId w:val="1"/>
        </w:numPr>
        <w:spacing w:after="90" w:line="276"/>
      </w:pPr>
      <w:r>
        <w:rPr>
          <w:sz w:val="21"/>
          <w:szCs w:val="21"/>
        </w:rPr>
        <w:t xml:space="preserve">Mandatory security incident notification to Falcon Freight within 24 hours of discovery.</w:t>
      </w:r>
    </w:p>
    <w:p>
      <w:pPr>
        <w:pStyle w:val="ListParagraph"/>
        <w:numPr>
          <w:ilvl w:val="0"/>
          <w:numId w:val="1"/>
        </w:numPr>
        <w:spacing w:after="90" w:line="276"/>
      </w:pPr>
      <w:r>
        <w:rPr>
          <w:sz w:val="21"/>
          <w:szCs w:val="21"/>
        </w:rPr>
        <w:t xml:space="preserve">The right for Falcon Freight (or an appointed auditor) to conduct periodic security and compliance audits.</w:t>
      </w:r>
    </w:p>
    <w:p>
      <w:pPr>
        <w:pStyle w:val="ListParagraph"/>
        <w:numPr>
          <w:ilvl w:val="0"/>
          <w:numId w:val="1"/>
        </w:numPr>
        <w:spacing w:after="90" w:line="276"/>
      </w:pPr>
      <w:r>
        <w:rPr>
          <w:sz w:val="21"/>
          <w:szCs w:val="21"/>
        </w:rPr>
        <w:t xml:space="preserve">Defined data return or secure destruction obligations upon contract termination.</w:t>
      </w:r>
    </w:p>
    <w:p>
      <w:pPr>
        <w:pStyle w:val="ListParagraph"/>
        <w:numPr>
          <w:ilvl w:val="0"/>
          <w:numId w:val="1"/>
        </w:numPr>
        <w:spacing w:after="90" w:line="276"/>
      </w:pPr>
      <w:r>
        <w:rPr>
          <w:sz w:val="21"/>
          <w:szCs w:val="21"/>
        </w:rPr>
        <w:t xml:space="preserve">Liability and indemnity provisions proportionate to the sensitivity of data accessed.</w:t>
      </w:r>
    </w:p>
    <w:p>
      <w:pPr>
        <w:pStyle w:val="Heading2"/>
        <w:spacing w:after="150" w:before="300"/>
      </w:pPr>
      <w:r>
        <w:rPr>
          <w:b/>
          <w:bCs/>
          <w:color w:val="2E5395"/>
          <w:sz w:val="25"/>
          <w:szCs w:val="25"/>
        </w:rPr>
        <w:t xml:space="preserve">9.3 Ongoing Monitoring</w:t>
      </w:r>
    </w:p>
    <w:p>
      <w:pPr>
        <w:pStyle w:val="ListParagraph"/>
        <w:numPr>
          <w:ilvl w:val="0"/>
          <w:numId w:val="1"/>
        </w:numPr>
        <w:spacing w:after="90" w:line="276"/>
      </w:pPr>
      <w:r>
        <w:rPr>
          <w:sz w:val="21"/>
          <w:szCs w:val="21"/>
        </w:rPr>
        <w:t xml:space="preserve">Vendor risk tiering (Low/Medium/High/Critical) determines the frequency of reassessment: Critical and High-tier third parties are reassessed at least annually; Medium-tier every two years; Low-tier on renewal.</w:t>
      </w:r>
    </w:p>
    <w:p>
      <w:pPr>
        <w:pStyle w:val="ListParagraph"/>
        <w:numPr>
          <w:ilvl w:val="0"/>
          <w:numId w:val="1"/>
        </w:numPr>
        <w:spacing w:after="90" w:line="276"/>
      </w:pPr>
      <w:r>
        <w:rPr>
          <w:sz w:val="21"/>
          <w:szCs w:val="21"/>
        </w:rPr>
        <w:t xml:space="preserve">Subcontracted delivery contractors and customs brokers are subject to periodic spot-checks on credential use, device security, and adherence to data handling procedures, coordinated by Regional IT/Security Leads.</w:t>
      </w:r>
    </w:p>
    <w:p>
      <w:pPr>
        <w:pStyle w:val="ListParagraph"/>
        <w:numPr>
          <w:ilvl w:val="0"/>
          <w:numId w:val="1"/>
        </w:numPr>
        <w:spacing w:after="90" w:line="276"/>
      </w:pPr>
      <w:r>
        <w:rPr>
          <w:sz w:val="21"/>
          <w:szCs w:val="21"/>
        </w:rPr>
        <w:t xml:space="preserve">Any third party found in material breach of its security or data protection obligations will be subject to remediation planning, and, where risk warrants, suspension or termination of the engagement.</w:t>
      </w:r>
    </w:p>
    <w:p>
      <w:pPr>
        <w:pStyle w:val="Heading1"/>
        <w:pBdr>
          <w:bottom w:val="single" w:color="1F3864" w:sz="6" w:space="4"/>
        </w:pBdr>
        <w:spacing w:after="200" w:before="400"/>
      </w:pPr>
      <w:r>
        <w:rPr>
          <w:b/>
          <w:bCs/>
          <w:color w:val="1F3864"/>
          <w:sz w:val="30"/>
          <w:szCs w:val="30"/>
        </w:rPr>
        <w:t xml:space="preserve">10. Cross-Border Data Transfer</w:t>
      </w:r>
    </w:p>
    <w:p>
      <w:pPr>
        <w:spacing w:after="150" w:line="276"/>
      </w:pPr>
      <w:r>
        <w:rPr>
          <w:sz w:val="21"/>
          <w:szCs w:val="21"/>
        </w:rPr>
        <w:t xml:space="preserve">Falcon Freight's expansion into new countries, combined with its use of a cloud-based platform and a distributed vendor network, means personal and business data routinely crosses national borders. This is a priority risk area for the organization.</w:t>
      </w:r>
    </w:p>
    <w:p>
      <w:pPr>
        <w:pStyle w:val="Heading2"/>
        <w:spacing w:after="150" w:before="300"/>
      </w:pPr>
      <w:r>
        <w:rPr>
          <w:b/>
          <w:bCs/>
          <w:color w:val="2E5395"/>
          <w:sz w:val="25"/>
          <w:szCs w:val="25"/>
        </w:rPr>
        <w:t xml:space="preserve">10.1 Principles</w:t>
      </w:r>
    </w:p>
    <w:p>
      <w:pPr>
        <w:pStyle w:val="ListParagraph"/>
        <w:numPr>
          <w:ilvl w:val="0"/>
          <w:numId w:val="1"/>
        </w:numPr>
        <w:spacing w:after="90" w:line="276"/>
      </w:pPr>
      <w:r>
        <w:rPr>
          <w:sz w:val="21"/>
          <w:szCs w:val="21"/>
        </w:rPr>
        <w:t xml:space="preserve">Cross-border transfers of personal data must have a documented legal basis under the law of the originating jurisdiction (e.g., POPIA cross-border transfer conditions; applicable East African data protection requirements; GDPR Chapter V mechanisms such as Standard Contractual Clauses).</w:t>
      </w:r>
    </w:p>
    <w:p>
      <w:pPr>
        <w:pStyle w:val="ListParagraph"/>
        <w:numPr>
          <w:ilvl w:val="0"/>
          <w:numId w:val="1"/>
        </w:numPr>
        <w:spacing w:after="90" w:line="276"/>
      </w:pPr>
      <w:r>
        <w:rPr>
          <w:sz w:val="21"/>
          <w:szCs w:val="21"/>
        </w:rPr>
        <w:t xml:space="preserve">Before establishing a new cross-border data flow (e.g., onboarding operations in a new country, or a new regional data center used by the cloud shipment tracking provider), a Data Protection Impact Assessment (DPIA) and transfer risk assessment must be completed and approved by the Information Officer.</w:t>
      </w:r>
    </w:p>
    <w:p>
      <w:pPr>
        <w:pStyle w:val="ListParagraph"/>
        <w:numPr>
          <w:ilvl w:val="0"/>
          <w:numId w:val="1"/>
        </w:numPr>
        <w:spacing w:after="90" w:line="276"/>
      </w:pPr>
      <w:r>
        <w:rPr>
          <w:sz w:val="21"/>
          <w:szCs w:val="21"/>
        </w:rPr>
        <w:t xml:space="preserve">A Register of Cross-Border Data Transfers must be maintained, recording the data categories transferred, origin and destination countries, legal transfer mechanism relied upon, and the responsible business owner.</w:t>
      </w:r>
    </w:p>
    <w:p>
      <w:pPr>
        <w:pStyle w:val="ListParagraph"/>
        <w:numPr>
          <w:ilvl w:val="0"/>
          <w:numId w:val="1"/>
        </w:numPr>
        <w:spacing w:after="90" w:line="276"/>
      </w:pPr>
      <w:r>
        <w:rPr>
          <w:sz w:val="21"/>
          <w:szCs w:val="21"/>
        </w:rPr>
        <w:t xml:space="preserve">Where the destination country lacks a recognized adequate level of data protection, appropriate safeguards (e.g., Standard Contractual Clauses, Binding Corporate Rules, or explicit informed consent where lawful) must be put in place before transfer.</w:t>
      </w:r>
    </w:p>
    <w:p>
      <w:pPr>
        <w:pStyle w:val="ListParagraph"/>
        <w:numPr>
          <w:ilvl w:val="0"/>
          <w:numId w:val="1"/>
        </w:numPr>
        <w:spacing w:after="90" w:line="276"/>
      </w:pPr>
      <w:r>
        <w:rPr>
          <w:sz w:val="21"/>
          <w:szCs w:val="21"/>
        </w:rPr>
        <w:t xml:space="preserve">Data localization requirements in any operating country take precedence where they impose stricter conditions than this Policy.</w:t>
      </w:r>
    </w:p>
    <w:p>
      <w:pPr>
        <w:pStyle w:val="Heading2"/>
        <w:spacing w:after="150" w:before="300"/>
      </w:pPr>
      <w:r>
        <w:rPr>
          <w:b/>
          <w:bCs/>
          <w:color w:val="2E5395"/>
          <w:sz w:val="25"/>
          <w:szCs w:val="25"/>
        </w:rPr>
        <w:t xml:space="preserve">10.2 Application to Falcon Freight's Operations</w:t>
      </w:r>
    </w:p>
    <w:p>
      <w:pPr>
        <w:pStyle w:val="ListParagraph"/>
        <w:numPr>
          <w:ilvl w:val="0"/>
          <w:numId w:val="1"/>
        </w:numPr>
        <w:spacing w:after="90" w:line="276"/>
      </w:pPr>
      <w:r>
        <w:rPr>
          <w:sz w:val="21"/>
          <w:szCs w:val="21"/>
        </w:rPr>
        <w:t xml:space="preserve">Shipment tracking data flowing through the cloud platform must be reviewed to confirm the CSP's data hosting locations and sub-processor locations, with contractual transfer safeguards in place for each relevant jurisdiction.</w:t>
      </w:r>
    </w:p>
    <w:p>
      <w:pPr>
        <w:pStyle w:val="ListParagraph"/>
        <w:numPr>
          <w:ilvl w:val="0"/>
          <w:numId w:val="1"/>
        </w:numPr>
        <w:spacing w:after="90" w:line="276"/>
      </w:pPr>
      <w:r>
        <w:rPr>
          <w:sz w:val="21"/>
          <w:szCs w:val="21"/>
        </w:rPr>
        <w:t xml:space="preserve">Customer and shipment data shared with customs brokers in a different country from the data's origin must be transferred through approved, encrypted channels only, and never via unmanaged personal email or messaging applications.</w:t>
      </w:r>
    </w:p>
    <w:p>
      <w:pPr>
        <w:pStyle w:val="ListParagraph"/>
        <w:numPr>
          <w:ilvl w:val="0"/>
          <w:numId w:val="1"/>
        </w:numPr>
        <w:spacing w:after="90" w:line="276"/>
      </w:pPr>
      <w:r>
        <w:rPr>
          <w:sz w:val="21"/>
          <w:szCs w:val="21"/>
        </w:rPr>
        <w:t xml:space="preserve">Regional expansion into a new country triggers a mandatory pre-launch compliance review by the Information Officer covering local data protection law, registration requirements, and any data localization constraints.</w:t>
      </w:r>
    </w:p>
    <w:p>
      <w:pPr>
        <w:pStyle w:val="Heading1"/>
        <w:pBdr>
          <w:bottom w:val="single" w:color="1F3864" w:sz="6" w:space="4"/>
        </w:pBdr>
        <w:spacing w:after="200" w:before="400"/>
      </w:pPr>
      <w:r>
        <w:rPr>
          <w:b/>
          <w:bCs/>
          <w:color w:val="1F3864"/>
          <w:sz w:val="30"/>
          <w:szCs w:val="30"/>
        </w:rPr>
        <w:t xml:space="preserve">11. Data Protection and Privacy</w:t>
      </w:r>
    </w:p>
    <w:p>
      <w:pPr>
        <w:spacing w:after="150" w:line="276"/>
      </w:pPr>
      <w:r>
        <w:rPr>
          <w:sz w:val="21"/>
          <w:szCs w:val="21"/>
        </w:rPr>
        <w:t xml:space="preserve">This section operationalizes Falcon Freight's obligations under POPIA, applicable East African data protection laws, GDPR (where applicable), and equivalent laws in other countries of operation.</w:t>
      </w:r>
    </w:p>
    <w:p>
      <w:pPr>
        <w:pStyle w:val="Heading2"/>
        <w:spacing w:after="150" w:before="300"/>
      </w:pPr>
      <w:r>
        <w:rPr>
          <w:b/>
          <w:bCs/>
          <w:color w:val="2E5395"/>
          <w:sz w:val="25"/>
          <w:szCs w:val="25"/>
        </w:rPr>
        <w:t xml:space="preserve">11.1 Data Protection Principles</w:t>
      </w:r>
    </w:p>
    <w:p>
      <w:pPr>
        <w:pStyle w:val="ListParagraph"/>
        <w:numPr>
          <w:ilvl w:val="0"/>
          <w:numId w:val="1"/>
        </w:numPr>
        <w:spacing w:after="90" w:line="276"/>
      </w:pPr>
      <w:r>
        <w:rPr>
          <w:sz w:val="21"/>
          <w:szCs w:val="21"/>
        </w:rPr>
        <w:t xml:space="preserve">Lawfulness, fairness and transparency in all processing of personal data.</w:t>
      </w:r>
    </w:p>
    <w:p>
      <w:pPr>
        <w:pStyle w:val="ListParagraph"/>
        <w:numPr>
          <w:ilvl w:val="0"/>
          <w:numId w:val="1"/>
        </w:numPr>
        <w:spacing w:after="90" w:line="276"/>
      </w:pPr>
      <w:r>
        <w:rPr>
          <w:sz w:val="21"/>
          <w:szCs w:val="21"/>
        </w:rPr>
        <w:t xml:space="preserve">Purpose limitation — personal data collected for logistics, warehousing, customs, or delivery purposes will not be used for incompatible purposes without a new lawful basis.</w:t>
      </w:r>
    </w:p>
    <w:p>
      <w:pPr>
        <w:pStyle w:val="ListParagraph"/>
        <w:numPr>
          <w:ilvl w:val="0"/>
          <w:numId w:val="1"/>
        </w:numPr>
        <w:spacing w:after="90" w:line="276"/>
      </w:pPr>
      <w:r>
        <w:rPr>
          <w:sz w:val="21"/>
          <w:szCs w:val="21"/>
        </w:rPr>
        <w:t xml:space="preserve">Data minimization — only data necessary for freight, warehousing, customs, or delivery operations is collected.</w:t>
      </w:r>
    </w:p>
    <w:p>
      <w:pPr>
        <w:pStyle w:val="ListParagraph"/>
        <w:numPr>
          <w:ilvl w:val="0"/>
          <w:numId w:val="1"/>
        </w:numPr>
        <w:spacing w:after="90" w:line="276"/>
      </w:pPr>
      <w:r>
        <w:rPr>
          <w:sz w:val="21"/>
          <w:szCs w:val="21"/>
        </w:rPr>
        <w:t xml:space="preserve">Accuracy — mechanisms exist for customers and employees to request correction of inaccurate data.</w:t>
      </w:r>
    </w:p>
    <w:p>
      <w:pPr>
        <w:pStyle w:val="ListParagraph"/>
        <w:numPr>
          <w:ilvl w:val="0"/>
          <w:numId w:val="1"/>
        </w:numPr>
        <w:spacing w:after="90" w:line="276"/>
      </w:pPr>
      <w:r>
        <w:rPr>
          <w:sz w:val="21"/>
          <w:szCs w:val="21"/>
        </w:rPr>
        <w:t xml:space="preserve">Storage limitation — retention schedules are defined per data category and enforced through automated or scheduled deletion.</w:t>
      </w:r>
    </w:p>
    <w:p>
      <w:pPr>
        <w:pStyle w:val="ListParagraph"/>
        <w:numPr>
          <w:ilvl w:val="0"/>
          <w:numId w:val="1"/>
        </w:numPr>
        <w:spacing w:after="90" w:line="276"/>
      </w:pPr>
      <w:r>
        <w:rPr>
          <w:sz w:val="21"/>
          <w:szCs w:val="21"/>
        </w:rPr>
        <w:t xml:space="preserve">Integrity and confidentiality — enforced through the technical and organizational controls described throughout this Policy.</w:t>
      </w:r>
    </w:p>
    <w:p>
      <w:pPr>
        <w:pStyle w:val="ListParagraph"/>
        <w:numPr>
          <w:ilvl w:val="0"/>
          <w:numId w:val="1"/>
        </w:numPr>
        <w:spacing w:after="90" w:line="276"/>
      </w:pPr>
      <w:r>
        <w:rPr>
          <w:sz w:val="21"/>
          <w:szCs w:val="21"/>
        </w:rPr>
        <w:t xml:space="preserve">Accountability — Falcon Freight maintains records of processing activities (ROPA), DPIAs, and evidence of compliance.</w:t>
      </w:r>
    </w:p>
    <w:p>
      <w:pPr>
        <w:pStyle w:val="Heading2"/>
        <w:spacing w:after="150" w:before="300"/>
      </w:pPr>
      <w:r>
        <w:rPr>
          <w:b/>
          <w:bCs/>
          <w:color w:val="2E5395"/>
          <w:sz w:val="25"/>
          <w:szCs w:val="25"/>
        </w:rPr>
        <w:t xml:space="preserve">11.2 Data Subject Rights</w:t>
      </w:r>
    </w:p>
    <w:p>
      <w:pPr>
        <w:spacing w:after="150" w:line="276"/>
      </w:pPr>
      <w:r>
        <w:rPr>
          <w:sz w:val="21"/>
          <w:szCs w:val="21"/>
        </w:rPr>
        <w:t xml:space="preserve">Falcon Freight will provide mechanisms for customers, employees, and other data subjects to exercise applicable rights, which may include access, correction, deletion, restriction, objection, and data portability, consistent with the law governing each relationship. All requests are coordinated by the Information Officer and must be responded to within statutory timeframes (e.g., POPIA and GDPR timelines, and as prescribed under applicable East African data protection laws).</w:t>
      </w:r>
    </w:p>
    <w:p>
      <w:pPr>
        <w:pStyle w:val="Heading2"/>
        <w:spacing w:after="150" w:before="300"/>
      </w:pPr>
      <w:r>
        <w:rPr>
          <w:b/>
          <w:bCs/>
          <w:color w:val="2E5395"/>
          <w:sz w:val="25"/>
          <w:szCs w:val="25"/>
        </w:rPr>
        <w:t xml:space="preserve">11.3 Registration and Regulatory Liaison</w:t>
      </w:r>
    </w:p>
    <w:p>
      <w:pPr>
        <w:pStyle w:val="ListParagraph"/>
        <w:numPr>
          <w:ilvl w:val="0"/>
          <w:numId w:val="1"/>
        </w:numPr>
        <w:spacing w:after="90" w:line="276"/>
      </w:pPr>
      <w:r>
        <w:rPr>
          <w:sz w:val="21"/>
          <w:szCs w:val="21"/>
        </w:rPr>
        <w:t xml:space="preserve">Falcon Freight will register or notify the relevant data protection authority in each jurisdiction where such registration is mandatory (e.g., the Information Regulator in South Africa).</w:t>
      </w:r>
    </w:p>
    <w:p>
      <w:pPr>
        <w:pStyle w:val="ListParagraph"/>
        <w:numPr>
          <w:ilvl w:val="0"/>
          <w:numId w:val="1"/>
        </w:numPr>
        <w:spacing w:after="90" w:line="276"/>
      </w:pPr>
      <w:r>
        <w:rPr>
          <w:sz w:val="21"/>
          <w:szCs w:val="21"/>
        </w:rPr>
        <w:t xml:space="preserve">The Information Officer is the designated point of contact for all data protection authorities and will maintain evidence of ongoing compliance, including regulatory filings where applicable.</w:t>
      </w:r>
    </w:p>
    <w:p>
      <w:pPr>
        <w:pStyle w:val="Heading1"/>
        <w:pBdr>
          <w:bottom w:val="single" w:color="1F3864" w:sz="6" w:space="4"/>
        </w:pBdr>
        <w:spacing w:after="200" w:before="400"/>
      </w:pPr>
      <w:r>
        <w:rPr>
          <w:b/>
          <w:bCs/>
          <w:color w:val="1F3864"/>
          <w:sz w:val="30"/>
          <w:szCs w:val="30"/>
        </w:rPr>
        <w:t xml:space="preserve">12. Incident Management and Breach Notification</w:t>
      </w:r>
    </w:p>
    <w:p>
      <w:pPr>
        <w:pStyle w:val="Heading2"/>
        <w:spacing w:after="150" w:before="300"/>
      </w:pPr>
      <w:r>
        <w:rPr>
          <w:b/>
          <w:bCs/>
          <w:color w:val="2E5395"/>
          <w:sz w:val="25"/>
          <w:szCs w:val="25"/>
        </w:rPr>
        <w:t xml:space="preserve">12.1 Incident Response Process</w:t>
      </w:r>
    </w:p>
    <w:p>
      <w:pPr>
        <w:spacing w:after="150" w:line="276"/>
      </w:pPr>
      <w:r>
        <w:rPr>
          <w:sz w:val="21"/>
          <w:szCs w:val="21"/>
        </w:rPr>
        <w:t xml:space="preserve">Falcon Freight maintains an Incident Response Plan covering detection, containment, eradication, recovery, and post-incident review. All employees, brokers, delivery contractors, and vendors must report suspected security incidents immediately to their Regional IT/Security Lead or via the central incident reporting channel.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600"/>
      </w:tblGrid>
      <w:tr>
        <w:trPr>
          <w:tblHeader/>
        </w:trPr>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Stage</w:t>
            </w:r>
          </w:p>
        </w:tc>
        <w:tc>
          <w:tcPr>
            <w:tcW w:type="dxa" w:w="3400"/>
            <w:shd w:fill="1F3864" w:val="clear"/>
            <w:tcMar>
              <w:top w:type="dxa" w:w="80"/>
              <w:left w:type="dxa" w:w="100"/>
              <w:bottom w:type="dxa" w:w="80"/>
              <w:right w:type="dxa" w:w="100"/>
            </w:tcMar>
            <w:vAlign w:val="center"/>
          </w:tcPr>
          <w:p>
            <w:pPr>
              <w:spacing w:after="40"/>
            </w:pPr>
            <w:r>
              <w:rPr>
                <w:b/>
                <w:bCs/>
                <w:color w:val="FFFFFF"/>
                <w:sz w:val="20"/>
                <w:szCs w:val="20"/>
              </w:rPr>
              <w:t xml:space="preserve">Target Timeframe</w:t>
            </w:r>
          </w:p>
        </w:tc>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Owner</w:t>
            </w:r>
          </w:p>
        </w:tc>
      </w:tr>
      <w:tr>
        <w:tc>
          <w:tcPr>
            <w:tcW w:type="dxa" w:w="2600"/>
            <w:tcMar>
              <w:top w:type="dxa" w:w="80"/>
              <w:left w:type="dxa" w:w="100"/>
              <w:bottom w:type="dxa" w:w="80"/>
              <w:right w:type="dxa" w:w="100"/>
            </w:tcMar>
          </w:tcPr>
          <w:p>
            <w:pPr>
              <w:spacing w:after="40"/>
            </w:pPr>
            <w:r>
              <w:rPr>
                <w:sz w:val="20"/>
                <w:szCs w:val="20"/>
              </w:rPr>
              <w:t xml:space="preserve">Initial detection &amp; triage</w:t>
            </w:r>
          </w:p>
        </w:tc>
        <w:tc>
          <w:tcPr>
            <w:tcW w:type="dxa" w:w="3400"/>
            <w:tcMar>
              <w:top w:type="dxa" w:w="80"/>
              <w:left w:type="dxa" w:w="100"/>
              <w:bottom w:type="dxa" w:w="80"/>
              <w:right w:type="dxa" w:w="100"/>
            </w:tcMar>
          </w:tcPr>
          <w:p>
            <w:pPr>
              <w:spacing w:after="40"/>
            </w:pPr>
            <w:r>
              <w:rPr>
                <w:sz w:val="20"/>
                <w:szCs w:val="20"/>
              </w:rPr>
              <w:t xml:space="preserve">Within 1 hour of report</w:t>
            </w:r>
          </w:p>
        </w:tc>
        <w:tc>
          <w:tcPr>
            <w:tcW w:type="dxa" w:w="2600"/>
            <w:tcMar>
              <w:top w:type="dxa" w:w="80"/>
              <w:left w:type="dxa" w:w="100"/>
              <w:bottom w:type="dxa" w:w="80"/>
              <w:right w:type="dxa" w:w="100"/>
            </w:tcMar>
          </w:tcPr>
          <w:p>
            <w:pPr>
              <w:spacing w:after="40"/>
            </w:pPr>
            <w:r>
              <w:rPr>
                <w:sz w:val="20"/>
                <w:szCs w:val="20"/>
              </w:rPr>
              <w:t xml:space="preserve">Regional IT/Security Lead</w:t>
            </w:r>
          </w:p>
        </w:tc>
      </w:tr>
      <w:tr>
        <w:tc>
          <w:tcPr>
            <w:tcW w:type="dxa" w:w="2600"/>
            <w:tcMar>
              <w:top w:type="dxa" w:w="80"/>
              <w:left w:type="dxa" w:w="100"/>
              <w:bottom w:type="dxa" w:w="80"/>
              <w:right w:type="dxa" w:w="100"/>
            </w:tcMar>
          </w:tcPr>
          <w:p>
            <w:pPr>
              <w:spacing w:after="40"/>
            </w:pPr>
            <w:r>
              <w:rPr>
                <w:sz w:val="20"/>
                <w:szCs w:val="20"/>
              </w:rPr>
              <w:t xml:space="preserve">Containment</w:t>
            </w:r>
          </w:p>
        </w:tc>
        <w:tc>
          <w:tcPr>
            <w:tcW w:type="dxa" w:w="3400"/>
            <w:tcMar>
              <w:top w:type="dxa" w:w="80"/>
              <w:left w:type="dxa" w:w="100"/>
              <w:bottom w:type="dxa" w:w="80"/>
              <w:right w:type="dxa" w:w="100"/>
            </w:tcMar>
          </w:tcPr>
          <w:p>
            <w:pPr>
              <w:spacing w:after="40"/>
            </w:pPr>
            <w:r>
              <w:rPr>
                <w:sz w:val="20"/>
                <w:szCs w:val="20"/>
              </w:rPr>
              <w:t xml:space="preserve">Within 4 hours of confirmed incident</w:t>
            </w:r>
          </w:p>
        </w:tc>
        <w:tc>
          <w:tcPr>
            <w:tcW w:type="dxa" w:w="2600"/>
            <w:tcMar>
              <w:top w:type="dxa" w:w="80"/>
              <w:left w:type="dxa" w:w="100"/>
              <w:bottom w:type="dxa" w:w="80"/>
              <w:right w:type="dxa" w:w="100"/>
            </w:tcMar>
          </w:tcPr>
          <w:p>
            <w:pPr>
              <w:spacing w:after="40"/>
            </w:pPr>
            <w:r>
              <w:rPr>
                <w:sz w:val="20"/>
                <w:szCs w:val="20"/>
              </w:rPr>
              <w:t xml:space="preserve">IT Operations / CISO</w:t>
            </w:r>
          </w:p>
        </w:tc>
      </w:tr>
      <w:tr>
        <w:tc>
          <w:tcPr>
            <w:tcW w:type="dxa" w:w="2600"/>
            <w:tcMar>
              <w:top w:type="dxa" w:w="80"/>
              <w:left w:type="dxa" w:w="100"/>
              <w:bottom w:type="dxa" w:w="80"/>
              <w:right w:type="dxa" w:w="100"/>
            </w:tcMar>
          </w:tcPr>
          <w:p>
            <w:pPr>
              <w:spacing w:after="40"/>
            </w:pPr>
            <w:r>
              <w:rPr>
                <w:sz w:val="20"/>
                <w:szCs w:val="20"/>
              </w:rPr>
              <w:t xml:space="preserve">Internal escalation to CISO &amp; Information Officer</w:t>
            </w:r>
          </w:p>
        </w:tc>
        <w:tc>
          <w:tcPr>
            <w:tcW w:type="dxa" w:w="3400"/>
            <w:tcMar>
              <w:top w:type="dxa" w:w="80"/>
              <w:left w:type="dxa" w:w="100"/>
              <w:bottom w:type="dxa" w:w="80"/>
              <w:right w:type="dxa" w:w="100"/>
            </w:tcMar>
          </w:tcPr>
          <w:p>
            <w:pPr>
              <w:spacing w:after="40"/>
            </w:pPr>
            <w:r>
              <w:rPr>
                <w:sz w:val="20"/>
                <w:szCs w:val="20"/>
              </w:rPr>
              <w:t xml:space="preserve">Within 24 hours</w:t>
            </w:r>
          </w:p>
        </w:tc>
        <w:tc>
          <w:tcPr>
            <w:tcW w:type="dxa" w:w="2600"/>
            <w:tcMar>
              <w:top w:type="dxa" w:w="80"/>
              <w:left w:type="dxa" w:w="100"/>
              <w:bottom w:type="dxa" w:w="80"/>
              <w:right w:type="dxa" w:w="100"/>
            </w:tcMar>
          </w:tcPr>
          <w:p>
            <w:pPr>
              <w:spacing w:after="40"/>
            </w:pPr>
            <w:r>
              <w:rPr>
                <w:sz w:val="20"/>
                <w:szCs w:val="20"/>
              </w:rPr>
              <w:t xml:space="preserve">Incident Owner</w:t>
            </w:r>
          </w:p>
        </w:tc>
      </w:tr>
      <w:tr>
        <w:tc>
          <w:tcPr>
            <w:tcW w:type="dxa" w:w="2600"/>
            <w:tcMar>
              <w:top w:type="dxa" w:w="80"/>
              <w:left w:type="dxa" w:w="100"/>
              <w:bottom w:type="dxa" w:w="80"/>
              <w:right w:type="dxa" w:w="100"/>
            </w:tcMar>
          </w:tcPr>
          <w:p>
            <w:pPr>
              <w:spacing w:after="40"/>
            </w:pPr>
            <w:r>
              <w:rPr>
                <w:sz w:val="20"/>
                <w:szCs w:val="20"/>
              </w:rPr>
              <w:t xml:space="preserve">Regulatory breach notification (where personal data affected)</w:t>
            </w:r>
          </w:p>
        </w:tc>
        <w:tc>
          <w:tcPr>
            <w:tcW w:type="dxa" w:w="3400"/>
            <w:tcMar>
              <w:top w:type="dxa" w:w="80"/>
              <w:left w:type="dxa" w:w="100"/>
              <w:bottom w:type="dxa" w:w="80"/>
              <w:right w:type="dxa" w:w="100"/>
            </w:tcMar>
          </w:tcPr>
          <w:p>
            <w:pPr>
              <w:spacing w:after="40"/>
            </w:pPr>
            <w:r>
              <w:rPr>
                <w:sz w:val="20"/>
                <w:szCs w:val="20"/>
              </w:rPr>
              <w:t xml:space="preserve">As required by law (e.g., without undue delay under POPIA; within 72 hours under GDPR where applicable)</w:t>
            </w:r>
          </w:p>
        </w:tc>
        <w:tc>
          <w:tcPr>
            <w:tcW w:type="dxa" w:w="2600"/>
            <w:tcMar>
              <w:top w:type="dxa" w:w="80"/>
              <w:left w:type="dxa" w:w="100"/>
              <w:bottom w:type="dxa" w:w="80"/>
              <w:right w:type="dxa" w:w="100"/>
            </w:tcMar>
          </w:tcPr>
          <w:p>
            <w:pPr>
              <w:spacing w:after="40"/>
            </w:pPr>
            <w:r>
              <w:rPr>
                <w:sz w:val="20"/>
                <w:szCs w:val="20"/>
              </w:rPr>
              <w:t xml:space="preserve">Information Officer</w:t>
            </w:r>
          </w:p>
        </w:tc>
      </w:tr>
      <w:tr>
        <w:tc>
          <w:tcPr>
            <w:tcW w:type="dxa" w:w="2600"/>
            <w:tcMar>
              <w:top w:type="dxa" w:w="80"/>
              <w:left w:type="dxa" w:w="100"/>
              <w:bottom w:type="dxa" w:w="80"/>
              <w:right w:type="dxa" w:w="100"/>
            </w:tcMar>
          </w:tcPr>
          <w:p>
            <w:pPr>
              <w:spacing w:after="40"/>
            </w:pPr>
            <w:r>
              <w:rPr>
                <w:sz w:val="20"/>
                <w:szCs w:val="20"/>
              </w:rPr>
              <w:t xml:space="preserve">Affected individual/customer notification</w:t>
            </w:r>
          </w:p>
        </w:tc>
        <w:tc>
          <w:tcPr>
            <w:tcW w:type="dxa" w:w="3400"/>
            <w:tcMar>
              <w:top w:type="dxa" w:w="80"/>
              <w:left w:type="dxa" w:w="100"/>
              <w:bottom w:type="dxa" w:w="80"/>
              <w:right w:type="dxa" w:w="100"/>
            </w:tcMar>
          </w:tcPr>
          <w:p>
            <w:pPr>
              <w:spacing w:after="40"/>
            </w:pPr>
            <w:r>
              <w:rPr>
                <w:sz w:val="20"/>
                <w:szCs w:val="20"/>
              </w:rPr>
              <w:t xml:space="preserve">As required by applicable law and contract</w:t>
            </w:r>
          </w:p>
        </w:tc>
        <w:tc>
          <w:tcPr>
            <w:tcW w:type="dxa" w:w="2600"/>
            <w:tcMar>
              <w:top w:type="dxa" w:w="80"/>
              <w:left w:type="dxa" w:w="100"/>
              <w:bottom w:type="dxa" w:w="80"/>
              <w:right w:type="dxa" w:w="100"/>
            </w:tcMar>
          </w:tcPr>
          <w:p>
            <w:pPr>
              <w:spacing w:after="40"/>
            </w:pPr>
            <w:r>
              <w:rPr>
                <w:sz w:val="20"/>
                <w:szCs w:val="20"/>
              </w:rPr>
              <w:t xml:space="preserve">Information Officer / Communications</w:t>
            </w:r>
          </w:p>
        </w:tc>
      </w:tr>
      <w:tr>
        <w:tc>
          <w:tcPr>
            <w:tcW w:type="dxa" w:w="2600"/>
            <w:tcMar>
              <w:top w:type="dxa" w:w="80"/>
              <w:left w:type="dxa" w:w="100"/>
              <w:bottom w:type="dxa" w:w="80"/>
              <w:right w:type="dxa" w:w="100"/>
            </w:tcMar>
          </w:tcPr>
          <w:p>
            <w:pPr>
              <w:spacing w:after="40"/>
            </w:pPr>
            <w:r>
              <w:rPr>
                <w:sz w:val="20"/>
                <w:szCs w:val="20"/>
              </w:rPr>
              <w:t xml:space="preserve">Post-incident review and remediation plan</w:t>
            </w:r>
          </w:p>
        </w:tc>
        <w:tc>
          <w:tcPr>
            <w:tcW w:type="dxa" w:w="3400"/>
            <w:tcMar>
              <w:top w:type="dxa" w:w="80"/>
              <w:left w:type="dxa" w:w="100"/>
              <w:bottom w:type="dxa" w:w="80"/>
              <w:right w:type="dxa" w:w="100"/>
            </w:tcMar>
          </w:tcPr>
          <w:p>
            <w:pPr>
              <w:spacing w:after="40"/>
            </w:pPr>
            <w:r>
              <w:rPr>
                <w:sz w:val="20"/>
                <w:szCs w:val="20"/>
              </w:rPr>
              <w:t xml:space="preserve">Within 15 business days of closure</w:t>
            </w:r>
          </w:p>
        </w:tc>
        <w:tc>
          <w:tcPr>
            <w:tcW w:type="dxa" w:w="2600"/>
            <w:tcMar>
              <w:top w:type="dxa" w:w="80"/>
              <w:left w:type="dxa" w:w="100"/>
              <w:bottom w:type="dxa" w:w="80"/>
              <w:right w:type="dxa" w:w="100"/>
            </w:tcMar>
          </w:tcPr>
          <w:p>
            <w:pPr>
              <w:spacing w:after="40"/>
            </w:pPr>
            <w:r>
              <w:rPr>
                <w:sz w:val="20"/>
                <w:szCs w:val="20"/>
              </w:rPr>
              <w:t xml:space="preserve">CISO</w:t>
            </w:r>
          </w:p>
        </w:tc>
      </w:tr>
    </w:tbl>
    <w:p>
      <w:pPr>
        <w:pStyle w:val="Heading2"/>
        <w:spacing w:after="150" w:before="300"/>
      </w:pPr>
      <w:r>
        <w:rPr>
          <w:b/>
          <w:bCs/>
          <w:color w:val="2E5395"/>
          <w:sz w:val="25"/>
          <w:szCs w:val="25"/>
        </w:rPr>
        <w:t xml:space="preserve">12.2 Third-Party Breach Reporting</w:t>
      </w:r>
    </w:p>
    <w:p>
      <w:pPr>
        <w:spacing w:after="150" w:line="276"/>
      </w:pPr>
      <w:r>
        <w:rPr>
          <w:sz w:val="21"/>
          <w:szCs w:val="21"/>
        </w:rPr>
        <w:t xml:space="preserve">Customs brokers, subcontracted delivery contractors, and vendors are contractually required to notify Falcon Freight within 24 hours of discovering any actual or suspected security incident affecting Falcon Freight or customer data, regardless of whether the incident occurred on Falcon Freight systems.</w:t>
      </w:r>
    </w:p>
    <w:p>
      <w:pPr>
        <w:pStyle w:val="Heading1"/>
        <w:pBdr>
          <w:bottom w:val="single" w:color="1F3864" w:sz="6" w:space="4"/>
        </w:pBdr>
        <w:spacing w:after="200" w:before="400"/>
      </w:pPr>
      <w:r>
        <w:rPr>
          <w:b/>
          <w:bCs/>
          <w:color w:val="1F3864"/>
          <w:sz w:val="30"/>
          <w:szCs w:val="30"/>
        </w:rPr>
        <w:t xml:space="preserve">13. Business Continuity and Disaster Recovery</w:t>
      </w:r>
    </w:p>
    <w:p>
      <w:pPr>
        <w:pStyle w:val="ListParagraph"/>
        <w:numPr>
          <w:ilvl w:val="0"/>
          <w:numId w:val="1"/>
        </w:numPr>
        <w:spacing w:after="90" w:line="276"/>
      </w:pPr>
      <w:r>
        <w:rPr>
          <w:sz w:val="21"/>
          <w:szCs w:val="21"/>
        </w:rPr>
        <w:t xml:space="preserve">Business Continuity and Disaster Recovery (BCDR) plans are maintained for the on-premise warehouse management system, with defined Recovery Time Objectives (RTO) and Recovery Point Objectives (RPO) approved by the ISSC.</w:t>
      </w:r>
    </w:p>
    <w:p>
      <w:pPr>
        <w:pStyle w:val="ListParagraph"/>
        <w:numPr>
          <w:ilvl w:val="0"/>
          <w:numId w:val="1"/>
        </w:numPr>
        <w:spacing w:after="90" w:line="276"/>
      </w:pPr>
      <w:r>
        <w:rPr>
          <w:sz w:val="21"/>
          <w:szCs w:val="21"/>
        </w:rPr>
        <w:t xml:space="preserve">For the cloud-based shipment tracking platform, Falcon Freight maintains a contingency plan addressing extended CSP outages, including manual fallback procedures for critical tracking and dispatch functions.</w:t>
      </w:r>
    </w:p>
    <w:p>
      <w:pPr>
        <w:pStyle w:val="ListParagraph"/>
        <w:numPr>
          <w:ilvl w:val="0"/>
          <w:numId w:val="1"/>
        </w:numPr>
        <w:spacing w:after="90" w:line="276"/>
      </w:pPr>
      <w:r>
        <w:rPr>
          <w:sz w:val="21"/>
          <w:szCs w:val="21"/>
        </w:rPr>
        <w:t xml:space="preserve">BCDR plans are tested at least annually, with results reported to the Board Risk &amp; Audit Committee.</w:t>
      </w:r>
    </w:p>
    <w:p>
      <w:pPr>
        <w:pStyle w:val="ListParagraph"/>
        <w:numPr>
          <w:ilvl w:val="0"/>
          <w:numId w:val="1"/>
        </w:numPr>
        <w:spacing w:after="90" w:line="276"/>
      </w:pPr>
      <w:r>
        <w:rPr>
          <w:sz w:val="21"/>
          <w:szCs w:val="21"/>
        </w:rPr>
        <w:t xml:space="preserve">Regional offices maintain locally-adapted continuity procedures reflecting country-specific infrastructure risk (e.g., power, connectivity).</w:t>
      </w:r>
    </w:p>
    <w:p>
      <w:pPr>
        <w:pStyle w:val="Heading1"/>
        <w:pBdr>
          <w:bottom w:val="single" w:color="1F3864" w:sz="6" w:space="4"/>
        </w:pBdr>
        <w:spacing w:after="200" w:before="400"/>
      </w:pPr>
      <w:r>
        <w:rPr>
          <w:b/>
          <w:bCs/>
          <w:color w:val="1F3864"/>
          <w:sz w:val="30"/>
          <w:szCs w:val="30"/>
        </w:rPr>
        <w:t xml:space="preserve">14. Physical and Environmental Security</w:t>
      </w:r>
    </w:p>
    <w:p>
      <w:pPr>
        <w:pStyle w:val="ListParagraph"/>
        <w:numPr>
          <w:ilvl w:val="0"/>
          <w:numId w:val="1"/>
        </w:numPr>
        <w:spacing w:after="90" w:line="276"/>
      </w:pPr>
      <w:r>
        <w:rPr>
          <w:sz w:val="21"/>
          <w:szCs w:val="21"/>
        </w:rPr>
        <w:t xml:space="preserve">Warehouses, depots, and offices housing information systems or Restricted/Confidential data must implement access control (badges/biometrics), visitor logging, and CCTV coverage of critical areas.</w:t>
      </w:r>
    </w:p>
    <w:p>
      <w:pPr>
        <w:pStyle w:val="ListParagraph"/>
        <w:numPr>
          <w:ilvl w:val="0"/>
          <w:numId w:val="1"/>
        </w:numPr>
        <w:spacing w:after="90" w:line="276"/>
      </w:pPr>
      <w:r>
        <w:rPr>
          <w:sz w:val="21"/>
          <w:szCs w:val="21"/>
        </w:rPr>
        <w:t xml:space="preserve">Server and network equipment rooms require restricted access limited to authorized IT personnel, with environmental controls (fire suppression, temperature/humidity monitoring, UPS backup).</w:t>
      </w:r>
    </w:p>
    <w:p>
      <w:pPr>
        <w:pStyle w:val="ListParagraph"/>
        <w:numPr>
          <w:ilvl w:val="0"/>
          <w:numId w:val="1"/>
        </w:numPr>
        <w:spacing w:after="90" w:line="276"/>
      </w:pPr>
      <w:r>
        <w:rPr>
          <w:sz w:val="21"/>
          <w:szCs w:val="21"/>
        </w:rPr>
        <w:t xml:space="preserve">Physical documents classified as Confidential or Restricted (e.g., customs paperwork, manifests) must be stored in locked facilities and disposed of via secure shredding or certified destruction.</w:t>
      </w:r>
    </w:p>
    <w:p>
      <w:pPr>
        <w:pStyle w:val="Heading1"/>
        <w:pBdr>
          <w:bottom w:val="single" w:color="1F3864" w:sz="6" w:space="4"/>
        </w:pBdr>
        <w:spacing w:after="200" w:before="400"/>
      </w:pPr>
      <w:r>
        <w:rPr>
          <w:b/>
          <w:bCs/>
          <w:color w:val="1F3864"/>
          <w:sz w:val="30"/>
          <w:szCs w:val="30"/>
        </w:rPr>
        <w:t xml:space="preserve">15. Human Resource Security and Awareness</w:t>
      </w:r>
    </w:p>
    <w:p>
      <w:pPr>
        <w:pStyle w:val="ListParagraph"/>
        <w:numPr>
          <w:ilvl w:val="0"/>
          <w:numId w:val="1"/>
        </w:numPr>
        <w:spacing w:after="90" w:line="276"/>
      </w:pPr>
      <w:r>
        <w:rPr>
          <w:sz w:val="21"/>
          <w:szCs w:val="21"/>
        </w:rPr>
        <w:t xml:space="preserve">Background verification checks are conducted for employees and, where legally permissible, for subcontracted delivery contractors and customs brokers in roles with access to Confidential or Restricted data.</w:t>
      </w:r>
    </w:p>
    <w:p>
      <w:pPr>
        <w:pStyle w:val="ListParagraph"/>
        <w:numPr>
          <w:ilvl w:val="0"/>
          <w:numId w:val="1"/>
        </w:numPr>
        <w:spacing w:after="90" w:line="276"/>
      </w:pPr>
      <w:r>
        <w:rPr>
          <w:sz w:val="21"/>
          <w:szCs w:val="21"/>
        </w:rPr>
        <w:t xml:space="preserve">All new employees, contractors, brokers, and delivery contractors complete mandatory information security and data protection induction training before or promptly upon gaining system access.</w:t>
      </w:r>
    </w:p>
    <w:p>
      <w:pPr>
        <w:pStyle w:val="ListParagraph"/>
        <w:numPr>
          <w:ilvl w:val="0"/>
          <w:numId w:val="1"/>
        </w:numPr>
        <w:spacing w:after="90" w:line="276"/>
      </w:pPr>
      <w:r>
        <w:rPr>
          <w:sz w:val="21"/>
          <w:szCs w:val="21"/>
        </w:rPr>
        <w:t xml:space="preserve">All personnel complete annual refresher training, with regional variants addressing local regulatory obligations (POPIA, GDPR, and applicable East African laws, as relevant).</w:t>
      </w:r>
    </w:p>
    <w:p>
      <w:pPr>
        <w:pStyle w:val="ListParagraph"/>
        <w:numPr>
          <w:ilvl w:val="0"/>
          <w:numId w:val="1"/>
        </w:numPr>
        <w:spacing w:after="90" w:line="276"/>
      </w:pPr>
      <w:r>
        <w:rPr>
          <w:sz w:val="21"/>
          <w:szCs w:val="21"/>
        </w:rPr>
        <w:t xml:space="preserve">Role-specific training is provided for staff handling cross-border data transfers, incident response, and vendor management.</w:t>
      </w:r>
    </w:p>
    <w:p>
      <w:pPr>
        <w:pStyle w:val="ListParagraph"/>
        <w:numPr>
          <w:ilvl w:val="0"/>
          <w:numId w:val="1"/>
        </w:numPr>
        <w:spacing w:after="90" w:line="276"/>
      </w:pPr>
      <w:r>
        <w:rPr>
          <w:sz w:val="21"/>
          <w:szCs w:val="21"/>
        </w:rPr>
        <w:t xml:space="preserve">Disciplinary procedures apply to confirmed policy violations by employees; contractual remedies (including termination) apply to third parties, proportionate to the severity of the breach.</w:t>
      </w:r>
    </w:p>
    <w:p>
      <w:pPr>
        <w:pStyle w:val="Heading1"/>
        <w:pBdr>
          <w:bottom w:val="single" w:color="1F3864" w:sz="6" w:space="4"/>
        </w:pBdr>
        <w:spacing w:after="200" w:before="400"/>
      </w:pPr>
      <w:r>
        <w:rPr>
          <w:b/>
          <w:bCs/>
          <w:color w:val="1F3864"/>
          <w:sz w:val="30"/>
          <w:szCs w:val="30"/>
        </w:rPr>
        <w:t xml:space="preserve">16. Monitoring, Audit and Compliance</w:t>
      </w:r>
    </w:p>
    <w:p>
      <w:pPr>
        <w:pStyle w:val="ListParagraph"/>
        <w:numPr>
          <w:ilvl w:val="0"/>
          <w:numId w:val="1"/>
        </w:numPr>
        <w:spacing w:after="90" w:line="276"/>
      </w:pPr>
      <w:r>
        <w:rPr>
          <w:sz w:val="21"/>
          <w:szCs w:val="21"/>
        </w:rPr>
        <w:t xml:space="preserve">Security logging is enabled across the warehouse management system, corporate network, and (to the extent configurable) the cloud shipment tracking platform, with centralized log review for anomalous activity.</w:t>
      </w:r>
    </w:p>
    <w:p>
      <w:pPr>
        <w:pStyle w:val="ListParagraph"/>
        <w:numPr>
          <w:ilvl w:val="0"/>
          <w:numId w:val="1"/>
        </w:numPr>
        <w:spacing w:after="90" w:line="276"/>
      </w:pPr>
      <w:r>
        <w:rPr>
          <w:sz w:val="21"/>
          <w:szCs w:val="21"/>
        </w:rPr>
        <w:t xml:space="preserve">Internal audits of this Policy and its supporting standards are conducted at least annually, and external certification audits (ISO/IEC 27001) are conducted per the certification body's schedule.</w:t>
      </w:r>
    </w:p>
    <w:p>
      <w:pPr>
        <w:pStyle w:val="ListParagraph"/>
        <w:numPr>
          <w:ilvl w:val="0"/>
          <w:numId w:val="1"/>
        </w:numPr>
        <w:spacing w:after="90" w:line="276"/>
      </w:pPr>
      <w:r>
        <w:rPr>
          <w:sz w:val="21"/>
          <w:szCs w:val="21"/>
        </w:rPr>
        <w:t xml:space="preserve">Regional compliance reviews are conducted at least annually by the CISO's office to identify inconsistent enforcement across regions, with findings reported to the ISSC and Board Risk &amp; Audit Committee.</w:t>
      </w:r>
    </w:p>
    <w:p>
      <w:pPr>
        <w:pStyle w:val="ListParagraph"/>
        <w:numPr>
          <w:ilvl w:val="0"/>
          <w:numId w:val="1"/>
        </w:numPr>
        <w:spacing w:after="90" w:line="276"/>
      </w:pPr>
      <w:r>
        <w:rPr>
          <w:sz w:val="21"/>
          <w:szCs w:val="21"/>
        </w:rPr>
        <w:t xml:space="preserve">Key risk and compliance indicators (e.g., overdue access reviews, vendor reassessments, training completion rates, incident volumes) are tracked on a Group-wide compliance dashboard.</w:t>
      </w:r>
    </w:p>
    <w:p>
      <w:pPr>
        <w:pStyle w:val="Heading1"/>
        <w:pBdr>
          <w:bottom w:val="single" w:color="1F3864" w:sz="6" w:space="4"/>
        </w:pBdr>
        <w:spacing w:after="200" w:before="400"/>
      </w:pPr>
      <w:r>
        <w:rPr>
          <w:b/>
          <w:bCs/>
          <w:color w:val="1F3864"/>
          <w:sz w:val="30"/>
          <w:szCs w:val="30"/>
        </w:rPr>
        <w:t xml:space="preserve">17. Policy Enforcement, Exceptions and Sanctions</w:t>
      </w:r>
    </w:p>
    <w:p>
      <w:pPr>
        <w:spacing w:after="150" w:line="276"/>
      </w:pPr>
      <w:r>
        <w:rPr>
          <w:sz w:val="21"/>
          <w:szCs w:val="21"/>
        </w:rPr>
        <w:t xml:space="preserve">Compliance with this Policy is mandatory for all persons and organizations within its scope. Any exception must be requested in writing, include a compensating control and business justification, and be approved by the CISO (or the Board Risk &amp; Audit Committee for exceptions affecting Restricted data or cross-border transfers).</w:t>
      </w:r>
    </w:p>
    <w:p>
      <w:pPr>
        <w:spacing w:after="150" w:line="276"/>
      </w:pPr>
      <w:r>
        <w:rPr>
          <w:sz w:val="21"/>
          <w:szCs w:val="21"/>
        </w:rPr>
        <w:t xml:space="preserve">Violations by employees may result in disciplinary action up to and including termination of employment, consistent with Falcon Freight's HR policies and local labor law. Violations by vendors, customs brokers, or subcontracted delivery contractors may result in remediation requirements, suspension of system access, financial penalties as specified in contract, or termination of the engagement.</w:t>
      </w:r>
    </w:p>
    <w:p>
      <w:pPr>
        <w:pStyle w:val="Heading1"/>
        <w:pBdr>
          <w:bottom w:val="single" w:color="1F3864" w:sz="6" w:space="4"/>
        </w:pBdr>
        <w:spacing w:after="200" w:before="400"/>
      </w:pPr>
      <w:r>
        <w:rPr>
          <w:b/>
          <w:bCs/>
          <w:color w:val="1F3864"/>
          <w:sz w:val="30"/>
          <w:szCs w:val="30"/>
        </w:rPr>
        <w:t xml:space="preserve">18. Policy Review and Amendment</w:t>
      </w:r>
    </w:p>
    <w:p>
      <w:pPr>
        <w:spacing w:after="150" w:line="276"/>
      </w:pPr>
      <w:r>
        <w:rPr>
          <w:sz w:val="21"/>
          <w:szCs w:val="21"/>
        </w:rPr>
        <w:t xml:space="preserve">This Policy is owned by the CISO and reviewed at least annually, or sooner in response to significant changes such as entry into a new country of operation, a material change in the vendor/broker network, a significant security incident, or changes in applicable law (including amendments to POPIA, GDPR, or applicable East African data protection laws). All revisions require approval by the Board Risk &amp; Audit Committee prior to publication.</w:t>
      </w:r>
    </w:p>
    <w:p>
      <w:pPr>
        <w:pStyle w:val="Heading1"/>
        <w:pBdr>
          <w:bottom w:val="single" w:color="1F3864" w:sz="6" w:space="4"/>
        </w:pBdr>
        <w:spacing w:after="200" w:before="400"/>
      </w:pPr>
      <w:r>
        <w:rPr>
          <w:b/>
          <w:bCs/>
          <w:color w:val="1F3864"/>
          <w:sz w:val="30"/>
          <w:szCs w:val="30"/>
        </w:rPr>
        <w:t xml:space="preserve">19. Related Policies and Standards</w:t>
      </w:r>
    </w:p>
    <w:p>
      <w:pPr>
        <w:pStyle w:val="ListParagraph"/>
        <w:numPr>
          <w:ilvl w:val="0"/>
          <w:numId w:val="1"/>
        </w:numPr>
        <w:spacing w:after="90" w:line="276"/>
      </w:pPr>
      <w:r>
        <w:rPr>
          <w:sz w:val="21"/>
          <w:szCs w:val="21"/>
        </w:rPr>
        <w:t xml:space="preserve">Acceptable Use Standard</w:t>
      </w:r>
    </w:p>
    <w:p>
      <w:pPr>
        <w:pStyle w:val="ListParagraph"/>
        <w:numPr>
          <w:ilvl w:val="0"/>
          <w:numId w:val="1"/>
        </w:numPr>
        <w:spacing w:after="90" w:line="276"/>
      </w:pPr>
      <w:r>
        <w:rPr>
          <w:sz w:val="21"/>
          <w:szCs w:val="21"/>
        </w:rPr>
        <w:t xml:space="preserve">Access Control Standard</w:t>
      </w:r>
    </w:p>
    <w:p>
      <w:pPr>
        <w:pStyle w:val="ListParagraph"/>
        <w:numPr>
          <w:ilvl w:val="0"/>
          <w:numId w:val="1"/>
        </w:numPr>
        <w:spacing w:after="90" w:line="276"/>
      </w:pPr>
      <w:r>
        <w:rPr>
          <w:sz w:val="21"/>
          <w:szCs w:val="21"/>
        </w:rPr>
        <w:t xml:space="preserve">Data Classification and Handling Standard</w:t>
      </w:r>
    </w:p>
    <w:p>
      <w:pPr>
        <w:pStyle w:val="ListParagraph"/>
        <w:numPr>
          <w:ilvl w:val="0"/>
          <w:numId w:val="1"/>
        </w:numPr>
        <w:spacing w:after="90" w:line="276"/>
      </w:pPr>
      <w:r>
        <w:rPr>
          <w:sz w:val="21"/>
          <w:szCs w:val="21"/>
        </w:rPr>
        <w:t xml:space="preserve">Data Protection and Privacy Notice (external-facing)</w:t>
      </w:r>
    </w:p>
    <w:p>
      <w:pPr>
        <w:pStyle w:val="ListParagraph"/>
        <w:numPr>
          <w:ilvl w:val="0"/>
          <w:numId w:val="1"/>
        </w:numPr>
        <w:spacing w:after="90" w:line="276"/>
      </w:pPr>
      <w:r>
        <w:rPr>
          <w:sz w:val="21"/>
          <w:szCs w:val="21"/>
        </w:rPr>
        <w:t xml:space="preserve">Third-Party and Vendor Risk Management Procedure</w:t>
      </w:r>
    </w:p>
    <w:p>
      <w:pPr>
        <w:pStyle w:val="ListParagraph"/>
        <w:numPr>
          <w:ilvl w:val="0"/>
          <w:numId w:val="1"/>
        </w:numPr>
        <w:spacing w:after="90" w:line="276"/>
      </w:pPr>
      <w:r>
        <w:rPr>
          <w:sz w:val="21"/>
          <w:szCs w:val="21"/>
        </w:rPr>
        <w:t xml:space="preserve">Cross-Border Data Transfer Procedure</w:t>
      </w:r>
    </w:p>
    <w:p>
      <w:pPr>
        <w:pStyle w:val="ListParagraph"/>
        <w:numPr>
          <w:ilvl w:val="0"/>
          <w:numId w:val="1"/>
        </w:numPr>
        <w:spacing w:after="90" w:line="276"/>
      </w:pPr>
      <w:r>
        <w:rPr>
          <w:sz w:val="21"/>
          <w:szCs w:val="21"/>
        </w:rPr>
        <w:t xml:space="preserve">Incident Response Plan</w:t>
      </w:r>
    </w:p>
    <w:p>
      <w:pPr>
        <w:pStyle w:val="ListParagraph"/>
        <w:numPr>
          <w:ilvl w:val="0"/>
          <w:numId w:val="1"/>
        </w:numPr>
        <w:spacing w:after="90" w:line="276"/>
      </w:pPr>
      <w:r>
        <w:rPr>
          <w:sz w:val="21"/>
          <w:szCs w:val="21"/>
        </w:rPr>
        <w:t xml:space="preserve">Business Continuity and Disaster Recovery Plan</w:t>
      </w:r>
    </w:p>
    <w:p>
      <w:pPr>
        <w:pStyle w:val="ListParagraph"/>
        <w:numPr>
          <w:ilvl w:val="0"/>
          <w:numId w:val="1"/>
        </w:numPr>
        <w:spacing w:after="90" w:line="276"/>
      </w:pPr>
      <w:r>
        <w:rPr>
          <w:sz w:val="21"/>
          <w:szCs w:val="21"/>
        </w:rPr>
        <w:t xml:space="preserve">Cloud Security and Shared Responsibility Standard</w:t>
      </w:r>
    </w:p>
    <w:p>
      <w:pPr>
        <w:pStyle w:val="Heading1"/>
        <w:pBdr>
          <w:bottom w:val="single" w:color="1F3864" w:sz="6" w:space="4"/>
        </w:pBdr>
        <w:spacing w:after="200" w:before="400"/>
      </w:pPr>
      <w:r>
        <w:rPr>
          <w:b/>
          <w:bCs/>
          <w:color w:val="1F3864"/>
          <w:sz w:val="30"/>
          <w:szCs w:val="30"/>
        </w:rPr>
        <w:t xml:space="preserve">20. 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4100"/>
        <w:gridCol w:w="1500"/>
        <w:gridCol w:w="1300"/>
      </w:tblGrid>
      <w:tr>
        <w:trPr>
          <w:tblHeader/>
        </w:trPr>
        <w:tc>
          <w:tcPr>
            <w:tcW w:type="dxa" w:w="1100"/>
            <w:shd w:fill="1F3864" w:val="clear"/>
            <w:tcMar>
              <w:top w:type="dxa" w:w="80"/>
              <w:left w:type="dxa" w:w="100"/>
              <w:bottom w:type="dxa" w:w="80"/>
              <w:right w:type="dxa" w:w="100"/>
            </w:tcMar>
            <w:vAlign w:val="center"/>
          </w:tcPr>
          <w:p>
            <w:pPr>
              <w:spacing w:after="40"/>
            </w:pPr>
            <w:r>
              <w:rPr>
                <w:b/>
                <w:bCs/>
                <w:color w:val="FFFFFF"/>
                <w:sz w:val="20"/>
                <w:szCs w:val="20"/>
              </w:rPr>
              <w:t xml:space="preserve">Version</w:t>
            </w:r>
          </w:p>
        </w:tc>
        <w:tc>
          <w:tcPr>
            <w:tcW w:type="dxa" w:w="1400"/>
            <w:shd w:fill="1F3864" w:val="clear"/>
            <w:tcMar>
              <w:top w:type="dxa" w:w="80"/>
              <w:left w:type="dxa" w:w="100"/>
              <w:bottom w:type="dxa" w:w="80"/>
              <w:right w:type="dxa" w:w="100"/>
            </w:tcMar>
            <w:vAlign w:val="center"/>
          </w:tcPr>
          <w:p>
            <w:pPr>
              <w:spacing w:after="40"/>
            </w:pPr>
            <w:r>
              <w:rPr>
                <w:b/>
                <w:bCs/>
                <w:color w:val="FFFFFF"/>
                <w:sz w:val="20"/>
                <w:szCs w:val="20"/>
              </w:rPr>
              <w:t xml:space="preserve">Date</w:t>
            </w:r>
          </w:p>
        </w:tc>
        <w:tc>
          <w:tcPr>
            <w:tcW w:type="dxa" w:w="4100"/>
            <w:shd w:fill="1F3864" w:val="clear"/>
            <w:tcMar>
              <w:top w:type="dxa" w:w="80"/>
              <w:left w:type="dxa" w:w="100"/>
              <w:bottom w:type="dxa" w:w="80"/>
              <w:right w:type="dxa" w:w="100"/>
            </w:tcMar>
            <w:vAlign w:val="center"/>
          </w:tcPr>
          <w:p>
            <w:pPr>
              <w:spacing w:after="40"/>
            </w:pPr>
            <w:r>
              <w:rPr>
                <w:b/>
                <w:bCs/>
                <w:color w:val="FFFFFF"/>
                <w:sz w:val="20"/>
                <w:szCs w:val="20"/>
              </w:rPr>
              <w:t xml:space="preserve">Details</w:t>
            </w:r>
          </w:p>
        </w:tc>
        <w:tc>
          <w:tcPr>
            <w:tcW w:type="dxa" w:w="1500"/>
            <w:shd w:fill="1F3864" w:val="clear"/>
            <w:tcMar>
              <w:top w:type="dxa" w:w="80"/>
              <w:left w:type="dxa" w:w="100"/>
              <w:bottom w:type="dxa" w:w="80"/>
              <w:right w:type="dxa" w:w="100"/>
            </w:tcMar>
            <w:vAlign w:val="center"/>
          </w:tcPr>
          <w:p>
            <w:pPr>
              <w:spacing w:after="40"/>
            </w:pPr>
            <w:r>
              <w:rPr>
                <w:b/>
                <w:bCs/>
                <w:color w:val="FFFFFF"/>
                <w:sz w:val="20"/>
                <w:szCs w:val="20"/>
              </w:rPr>
              <w:t xml:space="preserve">Author</w:t>
            </w:r>
          </w:p>
        </w:tc>
        <w:tc>
          <w:tcPr>
            <w:tcW w:type="dxa" w:w="1300"/>
            <w:shd w:fill="1F3864" w:val="clear"/>
            <w:tcMar>
              <w:top w:type="dxa" w:w="80"/>
              <w:left w:type="dxa" w:w="100"/>
              <w:bottom w:type="dxa" w:w="80"/>
              <w:right w:type="dxa" w:w="100"/>
            </w:tcMar>
            <w:vAlign w:val="center"/>
          </w:tcPr>
          <w:p>
            <w:pPr>
              <w:spacing w:after="40"/>
            </w:pPr>
            <w:r>
              <w:rPr>
                <w:b/>
                <w:bCs/>
                <w:color w:val="FFFFFF"/>
                <w:sz w:val="20"/>
                <w:szCs w:val="20"/>
              </w:rPr>
              <w:t xml:space="preserve">Approved</w:t>
            </w:r>
          </w:p>
        </w:tc>
      </w:tr>
      <w:tr>
        <w:tc>
          <w:tcPr>
            <w:tcW w:type="dxa" w:w="1100"/>
            <w:tcMar>
              <w:top w:type="dxa" w:w="80"/>
              <w:left w:type="dxa" w:w="100"/>
              <w:bottom w:type="dxa" w:w="80"/>
              <w:right w:type="dxa" w:w="100"/>
            </w:tcMar>
          </w:tcPr>
          <w:p>
            <w:pPr>
              <w:spacing w:after="40"/>
            </w:pPr>
            <w:r>
              <w:rPr>
                <w:sz w:val="20"/>
                <w:szCs w:val="20"/>
              </w:rPr>
              <w:t xml:space="preserve">1.0</w:t>
            </w:r>
          </w:p>
        </w:tc>
        <w:tc>
          <w:tcPr>
            <w:tcW w:type="dxa" w:w="1400"/>
            <w:tcMar>
              <w:top w:type="dxa" w:w="80"/>
              <w:left w:type="dxa" w:w="100"/>
              <w:bottom w:type="dxa" w:w="80"/>
              <w:right w:type="dxa" w:w="100"/>
            </w:tcMar>
          </w:tcPr>
          <w:p>
            <w:pPr>
              <w:spacing w:after="40"/>
            </w:pPr>
            <w:r>
              <w:rPr>
                <w:sz w:val="20"/>
                <w:szCs w:val="20"/>
              </w:rPr>
              <w:t xml:space="preserve">30/07/2026</w:t>
            </w:r>
          </w:p>
        </w:tc>
        <w:tc>
          <w:tcPr>
            <w:tcW w:type="dxa" w:w="4100"/>
            <w:tcMar>
              <w:top w:type="dxa" w:w="80"/>
              <w:left w:type="dxa" w:w="100"/>
              <w:bottom w:type="dxa" w:w="80"/>
              <w:right w:type="dxa" w:w="100"/>
            </w:tcMar>
          </w:tcPr>
          <w:p>
            <w:pPr>
              <w:spacing w:after="40"/>
            </w:pPr>
            <w:r>
              <w:rPr>
                <w:sz w:val="20"/>
                <w:szCs w:val="20"/>
              </w:rPr>
              <w:t xml:space="preserve">Initial issue of the Information Security Policy, approved by the Board Risk &amp; Audit Committee</w:t>
            </w:r>
          </w:p>
        </w:tc>
        <w:tc>
          <w:tcPr>
            <w:tcW w:type="dxa" w:w="1500"/>
            <w:tcMar>
              <w:top w:type="dxa" w:w="80"/>
              <w:left w:type="dxa" w:w="100"/>
              <w:bottom w:type="dxa" w:w="80"/>
              <w:right w:type="dxa" w:w="100"/>
            </w:tcMar>
          </w:tcPr>
          <w:p>
            <w:pPr>
              <w:spacing w:after="40"/>
            </w:pPr>
            <w:r>
              <w:rPr>
                <w:sz w:val="20"/>
                <w:szCs w:val="20"/>
              </w:rPr>
              <w:t xml:space="preserve">CISO</w:t>
            </w:r>
          </w:p>
        </w:tc>
        <w:tc>
          <w:tcPr>
            <w:tcW w:type="dxa" w:w="1300"/>
            <w:tcMar>
              <w:top w:type="dxa" w:w="80"/>
              <w:left w:type="dxa" w:w="100"/>
              <w:bottom w:type="dxa" w:w="80"/>
              <w:right w:type="dxa" w:w="100"/>
            </w:tcMar>
          </w:tcPr>
          <w:p>
            <w:pPr>
              <w:spacing w:after="40"/>
            </w:pPr>
            <w:r>
              <w:rPr>
                <w:sz w:val="20"/>
                <w:szCs w:val="20"/>
              </w:rPr>
              <w:t xml:space="preserve">Approved</w:t>
            </w:r>
          </w:p>
        </w:tc>
      </w:tr>
    </w:tbl>
    <w:p>
      <w:pPr>
        <w:spacing w:after="150" w:line="276"/>
      </w:pPr>
    </w:p>
    <w:p>
      <w:pPr>
        <w:spacing w:before="500"/>
      </w:pPr>
      <w:r>
        <w:rPr>
          <w:b/>
          <w:bCs/>
          <w:color w:val="1F3864"/>
          <w:sz w:val="24"/>
          <w:szCs w:val="24"/>
        </w:rPr>
        <w:t xml:space="preserve">Document Approval</w:t>
      </w:r>
    </w:p>
    <w:p>
      <w:pPr>
        <w:spacing w:after="150" w:line="276"/>
      </w:pPr>
      <w:r>
        <w:rPr>
          <w:sz w:val="21"/>
          <w:szCs w:val="21"/>
        </w:rPr>
        <w:t xml:space="preserve">This Policy is approved for issue by the Board Risk &amp; Audit Committee of Falcon Freight Solutions and is effective from the date stated on the cover page.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Internal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Falcon Freight Solutions — Information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2026-07-30T17:39:07.423Z</dcterms:created>
  <dcterms:modified xsi:type="dcterms:W3CDTF">2026-07-30T17:39:07.439Z</dcterms:modified>
</cp:coreProperties>
</file>

<file path=docProps/custom.xml><?xml version="1.0" encoding="utf-8"?>
<Properties xmlns="http://schemas.openxmlformats.org/officeDocument/2006/custom-properties" xmlns:vt="http://schemas.openxmlformats.org/officeDocument/2006/docPropsVTypes"/>
</file>