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44"/>
          <w:szCs w:val="44"/>
        </w:rPr>
        <w:t xml:space="preserve">FALCON FREIGHT SOLUTIONS</w:t>
      </w:r>
    </w:p>
    <w:p>
      <w:pPr>
        <w:spacing w:after="400"/>
        <w:jc w:val="center"/>
      </w:pPr>
      <w:r>
        <w:rPr>
          <w:i/>
          <w:iCs/>
          <w:color w:val="595959"/>
          <w:sz w:val="22"/>
          <w:szCs w:val="22"/>
        </w:rPr>
        <w:t xml:space="preserve">Freight Forwarding · Warehouse Management · Customs Clearance · Last-Mile Delivery</w:t>
      </w:r>
    </w:p>
    <w:p>
      <w:pPr>
        <w:spacing w:after="100" w:before="800"/>
        <w:jc w:val="center"/>
      </w:pPr>
      <w:r>
        <w:rPr>
          <w:b/>
          <w:bCs/>
          <w:color w:val="2E5395"/>
          <w:sz w:val="36"/>
          <w:szCs w:val="36"/>
        </w:rPr>
        <w:t xml:space="preserve">PASSWORD &amp; ACCESS CONTROL POLICY</w:t>
      </w:r>
    </w:p>
    <w:p>
      <w:pPr>
        <w:spacing w:after="800"/>
        <w:jc w:val="center"/>
      </w:pPr>
      <w:r>
        <w:rPr>
          <w:color w:val="595959"/>
          <w:sz w:val="24"/>
          <w:szCs w:val="24"/>
        </w:rPr>
        <w:t xml:space="preserve">Corporate Policy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pPr>
              <w:spacing w:after="40"/>
            </w:pPr>
            <w:r>
              <w:rPr>
                <w:b/>
                <w:bCs/>
                <w:color w:val="FFFFFF"/>
                <w:sz w:val="20"/>
                <w:szCs w:val="20"/>
              </w:rPr>
              <w:t xml:space="preserve">Field</w:t>
            </w:r>
          </w:p>
        </w:tc>
        <w:tc>
          <w:tcPr>
            <w:tcW w:type="dxa" w:w="6200"/>
            <w:shd w:fill="1F3864" w:val="clear"/>
            <w:tcMar>
              <w:top w:type="dxa" w:w="80"/>
              <w:left w:type="dxa" w:w="100"/>
              <w:bottom w:type="dxa" w:w="80"/>
              <w:right w:type="dxa" w:w="100"/>
            </w:tcMar>
            <w:vAlign w:val="center"/>
          </w:tcPr>
          <w:p>
            <w:pPr>
              <w:spacing w:after="40"/>
            </w:pPr>
            <w:r>
              <w:rPr>
                <w:b/>
                <w:bCs/>
                <w:color w:val="FFFFFF"/>
                <w:sz w:val="20"/>
                <w:szCs w:val="20"/>
              </w:rPr>
              <w:t xml:space="preserve">Detail</w:t>
            </w:r>
          </w:p>
        </w:tc>
      </w:tr>
      <w:tr>
        <w:tc>
          <w:tcPr>
            <w:tcW w:type="dxa" w:w="3200"/>
            <w:tcMar>
              <w:top w:type="dxa" w:w="80"/>
              <w:left w:type="dxa" w:w="100"/>
              <w:bottom w:type="dxa" w:w="80"/>
              <w:right w:type="dxa" w:w="100"/>
            </w:tcMar>
          </w:tcPr>
          <w:p>
            <w:pPr>
              <w:spacing w:after="40"/>
            </w:pPr>
            <w:r>
              <w:rPr>
                <w:sz w:val="20"/>
                <w:szCs w:val="20"/>
              </w:rPr>
              <w:t xml:space="preserve">Document Owner</w:t>
            </w:r>
          </w:p>
        </w:tc>
        <w:tc>
          <w:tcPr>
            <w:tcW w:type="dxa" w:w="6200"/>
            <w:tcMar>
              <w:top w:type="dxa" w:w="80"/>
              <w:left w:type="dxa" w:w="100"/>
              <w:bottom w:type="dxa" w:w="80"/>
              <w:right w:type="dxa" w:w="100"/>
            </w:tcMar>
          </w:tcPr>
          <w:p>
            <w:pPr>
              <w:spacing w:after="40"/>
            </w:pPr>
            <w:r>
              <w:rPr>
                <w:sz w:val="20"/>
                <w:szCs w:val="20"/>
              </w:rPr>
              <w:t xml:space="preserve">Chief Information Security Officer (CISO)</w:t>
            </w:r>
          </w:p>
        </w:tc>
      </w:tr>
      <w:tr>
        <w:tc>
          <w:tcPr>
            <w:tcW w:type="dxa" w:w="3200"/>
            <w:tcMar>
              <w:top w:type="dxa" w:w="80"/>
              <w:left w:type="dxa" w:w="100"/>
              <w:bottom w:type="dxa" w:w="80"/>
              <w:right w:type="dxa" w:w="100"/>
            </w:tcMar>
          </w:tcPr>
          <w:p>
            <w:pPr>
              <w:spacing w:after="40"/>
            </w:pPr>
            <w:r>
              <w:rPr>
                <w:sz w:val="20"/>
                <w:szCs w:val="20"/>
              </w:rPr>
              <w:t xml:space="preserve">Co-Owner</w:t>
            </w:r>
          </w:p>
        </w:tc>
        <w:tc>
          <w:tcPr>
            <w:tcW w:type="dxa" w:w="6200"/>
            <w:tcMar>
              <w:top w:type="dxa" w:w="80"/>
              <w:left w:type="dxa" w:w="100"/>
              <w:bottom w:type="dxa" w:w="80"/>
              <w:right w:type="dxa" w:w="100"/>
            </w:tcMar>
          </w:tcPr>
          <w:p>
            <w:pPr>
              <w:spacing w:after="40"/>
            </w:pPr>
            <w:r>
              <w:rPr>
                <w:sz w:val="20"/>
                <w:szCs w:val="20"/>
              </w:rPr>
              <w:t xml:space="preserve">Head of IT Operations</w:t>
            </w:r>
          </w:p>
        </w:tc>
      </w:tr>
      <w:tr>
        <w:tc>
          <w:tcPr>
            <w:tcW w:type="dxa" w:w="3200"/>
            <w:tcMar>
              <w:top w:type="dxa" w:w="80"/>
              <w:left w:type="dxa" w:w="100"/>
              <w:bottom w:type="dxa" w:w="80"/>
              <w:right w:type="dxa" w:w="100"/>
            </w:tcMar>
          </w:tcPr>
          <w:p>
            <w:pPr>
              <w:spacing w:after="40"/>
            </w:pPr>
            <w:r>
              <w:rPr>
                <w:sz w:val="20"/>
                <w:szCs w:val="20"/>
              </w:rPr>
              <w:t xml:space="preserve">Approved By</w:t>
            </w:r>
          </w:p>
        </w:tc>
        <w:tc>
          <w:tcPr>
            <w:tcW w:type="dxa" w:w="6200"/>
            <w:tcMar>
              <w:top w:type="dxa" w:w="80"/>
              <w:left w:type="dxa" w:w="100"/>
              <w:bottom w:type="dxa" w:w="80"/>
              <w:right w:type="dxa" w:w="100"/>
            </w:tcMar>
          </w:tcPr>
          <w:p>
            <w:pPr>
              <w:spacing w:after="40"/>
            </w:pPr>
            <w:r>
              <w:rPr>
                <w:sz w:val="20"/>
                <w:szCs w:val="20"/>
              </w:rPr>
              <w:t xml:space="preserve">Board Risk &amp; Audit Committee</w:t>
            </w:r>
          </w:p>
        </w:tc>
      </w:tr>
      <w:tr>
        <w:tc>
          <w:tcPr>
            <w:tcW w:type="dxa" w:w="3200"/>
            <w:tcMar>
              <w:top w:type="dxa" w:w="80"/>
              <w:left w:type="dxa" w:w="100"/>
              <w:bottom w:type="dxa" w:w="80"/>
              <w:right w:type="dxa" w:w="100"/>
            </w:tcMar>
          </w:tcPr>
          <w:p>
            <w:pPr>
              <w:spacing w:after="40"/>
            </w:pPr>
            <w:r>
              <w:rPr>
                <w:sz w:val="20"/>
                <w:szCs w:val="20"/>
              </w:rPr>
              <w:t xml:space="preserve">Classification</w:t>
            </w:r>
          </w:p>
        </w:tc>
        <w:tc>
          <w:tcPr>
            <w:tcW w:type="dxa" w:w="6200"/>
            <w:tcMar>
              <w:top w:type="dxa" w:w="80"/>
              <w:left w:type="dxa" w:w="100"/>
              <w:bottom w:type="dxa" w:w="80"/>
              <w:right w:type="dxa" w:w="100"/>
            </w:tcMar>
          </w:tcPr>
          <w:p>
            <w:pPr>
              <w:spacing w:after="40"/>
            </w:pPr>
            <w:r>
              <w:rPr>
                <w:sz w:val="20"/>
                <w:szCs w:val="20"/>
              </w:rPr>
              <w:t xml:space="preserve">Internal — Controlled Document</w:t>
            </w:r>
          </w:p>
        </w:tc>
      </w:tr>
      <w:tr>
        <w:tc>
          <w:tcPr>
            <w:tcW w:type="dxa" w:w="3200"/>
            <w:tcMar>
              <w:top w:type="dxa" w:w="80"/>
              <w:left w:type="dxa" w:w="100"/>
              <w:bottom w:type="dxa" w:w="80"/>
              <w:right w:type="dxa" w:w="100"/>
            </w:tcMar>
          </w:tcPr>
          <w:p>
            <w:pPr>
              <w:spacing w:after="40"/>
            </w:pPr>
            <w:r>
              <w:rPr>
                <w:sz w:val="20"/>
                <w:szCs w:val="20"/>
              </w:rPr>
              <w:t xml:space="preserve">Version</w:t>
            </w:r>
          </w:p>
        </w:tc>
        <w:tc>
          <w:tcPr>
            <w:tcW w:type="dxa" w:w="6200"/>
            <w:tcMar>
              <w:top w:type="dxa" w:w="80"/>
              <w:left w:type="dxa" w:w="100"/>
              <w:bottom w:type="dxa" w:w="80"/>
              <w:right w:type="dxa" w:w="100"/>
            </w:tcMar>
          </w:tcPr>
          <w:p>
            <w:pPr>
              <w:spacing w:after="40"/>
            </w:pPr>
            <w:r>
              <w:rPr>
                <w:sz w:val="20"/>
                <w:szCs w:val="20"/>
              </w:rPr>
              <w:t xml:space="preserve">1.0</w:t>
            </w:r>
          </w:p>
        </w:tc>
      </w:tr>
      <w:tr>
        <w:tc>
          <w:tcPr>
            <w:tcW w:type="dxa" w:w="3200"/>
            <w:tcMar>
              <w:top w:type="dxa" w:w="80"/>
              <w:left w:type="dxa" w:w="100"/>
              <w:bottom w:type="dxa" w:w="80"/>
              <w:right w:type="dxa" w:w="100"/>
            </w:tcMar>
          </w:tcPr>
          <w:p>
            <w:pPr>
              <w:spacing w:after="40"/>
            </w:pPr>
            <w:r>
              <w:rPr>
                <w:sz w:val="20"/>
                <w:szCs w:val="20"/>
              </w:rPr>
              <w:t xml:space="preserve">Effective Date</w:t>
            </w:r>
          </w:p>
        </w:tc>
        <w:tc>
          <w:tcPr>
            <w:tcW w:type="dxa" w:w="6200"/>
            <w:tcMar>
              <w:top w:type="dxa" w:w="80"/>
              <w:left w:type="dxa" w:w="100"/>
              <w:bottom w:type="dxa" w:w="80"/>
              <w:right w:type="dxa" w:w="100"/>
            </w:tcMar>
          </w:tcPr>
          <w:p>
            <w:pPr>
              <w:spacing w:after="40"/>
            </w:pPr>
            <w:r>
              <w:rPr>
                <w:sz w:val="20"/>
                <w:szCs w:val="20"/>
              </w:rPr>
              <w:t xml:space="preserve">30 July 2026</w:t>
            </w:r>
          </w:p>
        </w:tc>
      </w:tr>
      <w:tr>
        <w:tc>
          <w:tcPr>
            <w:tcW w:type="dxa" w:w="3200"/>
            <w:tcMar>
              <w:top w:type="dxa" w:w="80"/>
              <w:left w:type="dxa" w:w="100"/>
              <w:bottom w:type="dxa" w:w="80"/>
              <w:right w:type="dxa" w:w="100"/>
            </w:tcMar>
          </w:tcPr>
          <w:p>
            <w:pPr>
              <w:spacing w:after="40"/>
            </w:pPr>
            <w:r>
              <w:rPr>
                <w:sz w:val="20"/>
                <w:szCs w:val="20"/>
              </w:rPr>
              <w:t xml:space="preserve">Next Scheduled Review</w:t>
            </w:r>
          </w:p>
        </w:tc>
        <w:tc>
          <w:tcPr>
            <w:tcW w:type="dxa" w:w="6200"/>
            <w:tcMar>
              <w:top w:type="dxa" w:w="80"/>
              <w:left w:type="dxa" w:w="100"/>
              <w:bottom w:type="dxa" w:w="80"/>
              <w:right w:type="dxa" w:w="100"/>
            </w:tcMar>
          </w:tcPr>
          <w:p>
            <w:pPr>
              <w:spacing w:after="40"/>
            </w:pPr>
            <w:r>
              <w:rPr>
                <w:sz w:val="20"/>
                <w:szCs w:val="20"/>
              </w:rPr>
              <w:t xml:space="preserve">30 July 2027</w:t>
            </w:r>
          </w:p>
        </w:tc>
      </w:tr>
      <w:tr>
        <w:tc>
          <w:tcPr>
            <w:tcW w:type="dxa" w:w="3200"/>
            <w:tcMar>
              <w:top w:type="dxa" w:w="80"/>
              <w:left w:type="dxa" w:w="100"/>
              <w:bottom w:type="dxa" w:w="80"/>
              <w:right w:type="dxa" w:w="100"/>
            </w:tcMar>
          </w:tcPr>
          <w:p>
            <w:pPr>
              <w:spacing w:after="40"/>
            </w:pPr>
            <w:r>
              <w:rPr>
                <w:sz w:val="20"/>
                <w:szCs w:val="20"/>
              </w:rPr>
              <w:t xml:space="preserve">Applies To</w:t>
            </w:r>
          </w:p>
        </w:tc>
        <w:tc>
          <w:tcPr>
            <w:tcW w:type="dxa" w:w="6200"/>
            <w:tcMar>
              <w:top w:type="dxa" w:w="80"/>
              <w:left w:type="dxa" w:w="100"/>
              <w:bottom w:type="dxa" w:w="80"/>
              <w:right w:type="dxa" w:w="100"/>
            </w:tcMar>
          </w:tcPr>
          <w:p>
            <w:pPr>
              <w:spacing w:after="40"/>
            </w:pPr>
            <w:r>
              <w:rPr>
                <w:sz w:val="20"/>
                <w:szCs w:val="20"/>
              </w:rPr>
              <w:t xml:space="preserve">All employees, contractors, third-party customs brokers, subcontracted delivery contractors, and vendors of Falcon Freight Solutions with access to any Falcon Freight system, account, or device across all countries of operation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Table of Contents</w:t>
      </w:r>
    </w:p>
    <w:sdt>
      <w:sdtPr>
        <w:alias w:val="Table of Contents"/>
      </w:sdtPr>
      <w:sdtContent>
        <w:p>
          <w:pPr>
            <w:tabs>
              <w:tab w:val="right" w:leader="dot" w:pos="9300"/>
            </w:tabs>
            <w:spacing w:after="60"/>
          </w:pPr>
          <w:r>
            <w:rPr>
              <w:b/>
              <w:bCs/>
              <w:sz w:val="21"/>
              <w:szCs w:val="21"/>
            </w:rPr>
            <w:t xml:space="preserve">1. Introduction and Policy Statement</w:t>
          </w:r>
          <w:r>
            <w:rPr>
              <w:b/>
              <w:bCs/>
              <w:sz w:val="21"/>
              <w:szCs w:val="21"/>
            </w:rPr>
            <w:tab/>
            <w:t>3</w:t>
          </w:r>
        </w:p>
        <w:p>
          <w:pPr>
            <w:tabs>
              <w:tab w:val="right" w:leader="dot" w:pos="9300"/>
            </w:tabs>
            <w:spacing w:after="60"/>
            <w:ind w:left="360"/>
          </w:pPr>
          <w:r>
            <w:rPr>
              <w:sz w:val="20"/>
              <w:szCs w:val="20"/>
            </w:rPr>
            <w:t xml:space="preserve">1.1 Policy Statement</w:t>
          </w:r>
          <w:r>
            <w:rPr>
              <w:sz w:val="20"/>
              <w:szCs w:val="20"/>
            </w:rPr>
            <w:tab/>
            <w:t>3</w:t>
          </w:r>
        </w:p>
        <w:p>
          <w:pPr>
            <w:tabs>
              <w:tab w:val="right" w:leader="dot" w:pos="9300"/>
            </w:tabs>
            <w:spacing w:after="60"/>
          </w:pPr>
          <w:r>
            <w:rPr>
              <w:b/>
              <w:bCs/>
              <w:sz w:val="21"/>
              <w:szCs w:val="21"/>
            </w:rPr>
            <w:t xml:space="preserve">2. Purpose, Scope and Objectives</w:t>
          </w:r>
          <w:r>
            <w:rPr>
              <w:b/>
              <w:bCs/>
              <w:sz w:val="21"/>
              <w:szCs w:val="21"/>
            </w:rPr>
            <w:tab/>
            <w:t>3</w:t>
          </w:r>
        </w:p>
        <w:p>
          <w:pPr>
            <w:tabs>
              <w:tab w:val="right" w:leader="dot" w:pos="9300"/>
            </w:tabs>
            <w:spacing w:after="60"/>
            <w:ind w:left="360"/>
          </w:pPr>
          <w:r>
            <w:rPr>
              <w:sz w:val="20"/>
              <w:szCs w:val="20"/>
            </w:rPr>
            <w:t xml:space="preserve">2.1 Purpose</w:t>
          </w:r>
          <w:r>
            <w:rPr>
              <w:sz w:val="20"/>
              <w:szCs w:val="20"/>
            </w:rPr>
            <w:tab/>
            <w:t>3</w:t>
          </w:r>
        </w:p>
        <w:p>
          <w:pPr>
            <w:tabs>
              <w:tab w:val="right" w:leader="dot" w:pos="9300"/>
            </w:tabs>
            <w:spacing w:after="60"/>
            <w:ind w:left="360"/>
          </w:pPr>
          <w:r>
            <w:rPr>
              <w:sz w:val="20"/>
              <w:szCs w:val="20"/>
            </w:rPr>
            <w:t xml:space="preserve">2.2 Scope</w:t>
          </w:r>
          <w:r>
            <w:rPr>
              <w:sz w:val="20"/>
              <w:szCs w:val="20"/>
            </w:rPr>
            <w:tab/>
            <w:t>3</w:t>
          </w:r>
        </w:p>
        <w:p>
          <w:pPr>
            <w:tabs>
              <w:tab w:val="right" w:leader="dot" w:pos="9300"/>
            </w:tabs>
            <w:spacing w:after="60"/>
            <w:ind w:left="360"/>
          </w:pPr>
          <w:r>
            <w:rPr>
              <w:sz w:val="20"/>
              <w:szCs w:val="20"/>
            </w:rPr>
            <w:t xml:space="preserve">2.3 Objectives</w:t>
          </w:r>
          <w:r>
            <w:rPr>
              <w:sz w:val="20"/>
              <w:szCs w:val="20"/>
            </w:rPr>
            <w:tab/>
            <w:t>4</w:t>
          </w:r>
        </w:p>
        <w:p>
          <w:pPr>
            <w:tabs>
              <w:tab w:val="right" w:leader="dot" w:pos="9300"/>
            </w:tabs>
            <w:spacing w:after="60"/>
          </w:pPr>
          <w:r>
            <w:rPr>
              <w:b/>
              <w:bCs/>
              <w:sz w:val="21"/>
              <w:szCs w:val="21"/>
            </w:rPr>
            <w:t xml:space="preserve">3. Governance and Roles &amp; Responsibilities</w:t>
          </w:r>
          <w:r>
            <w:rPr>
              <w:b/>
              <w:bCs/>
              <w:sz w:val="21"/>
              <w:szCs w:val="21"/>
            </w:rPr>
            <w:tab/>
            <w:t>4</w:t>
          </w:r>
        </w:p>
        <w:p>
          <w:pPr>
            <w:tabs>
              <w:tab w:val="right" w:leader="dot" w:pos="9300"/>
            </w:tabs>
            <w:spacing w:after="60"/>
            <w:ind w:left="360"/>
          </w:pPr>
          <w:r>
            <w:rPr>
              <w:sz w:val="20"/>
              <w:szCs w:val="20"/>
            </w:rPr>
            <w:t xml:space="preserve">3.1 Roles and Responsibilities</w:t>
          </w:r>
          <w:r>
            <w:rPr>
              <w:sz w:val="20"/>
              <w:szCs w:val="20"/>
            </w:rPr>
            <w:tab/>
            <w:t>4</w:t>
          </w:r>
        </w:p>
        <w:p>
          <w:pPr>
            <w:tabs>
              <w:tab w:val="right" w:leader="dot" w:pos="9300"/>
            </w:tabs>
            <w:spacing w:after="60"/>
            <w:ind w:left="360"/>
          </w:pPr>
          <w:r>
            <w:rPr>
              <w:sz w:val="20"/>
              <w:szCs w:val="20"/>
            </w:rPr>
            <w:t xml:space="preserve">3.2 Information Security Steering Committee</w:t>
          </w:r>
          <w:r>
            <w:rPr>
              <w:sz w:val="20"/>
              <w:szCs w:val="20"/>
            </w:rPr>
            <w:tab/>
            <w:t>5</w:t>
          </w:r>
        </w:p>
        <w:p>
          <w:pPr>
            <w:tabs>
              <w:tab w:val="right" w:leader="dot" w:pos="9300"/>
            </w:tabs>
            <w:spacing w:after="60"/>
          </w:pPr>
          <w:r>
            <w:rPr>
              <w:b/>
              <w:bCs/>
              <w:sz w:val="21"/>
              <w:szCs w:val="21"/>
            </w:rPr>
            <w:t xml:space="preserve">4. Access Control Principles</w:t>
          </w:r>
          <w:r>
            <w:rPr>
              <w:b/>
              <w:bCs/>
              <w:sz w:val="21"/>
              <w:szCs w:val="21"/>
            </w:rPr>
            <w:tab/>
            <w:t>5</w:t>
          </w:r>
        </w:p>
        <w:p>
          <w:pPr>
            <w:tabs>
              <w:tab w:val="right" w:leader="dot" w:pos="9300"/>
            </w:tabs>
            <w:spacing w:after="60"/>
          </w:pPr>
          <w:r>
            <w:rPr>
              <w:b/>
              <w:bCs/>
              <w:sz w:val="21"/>
              <w:szCs w:val="21"/>
            </w:rPr>
            <w:t xml:space="preserve">5. User Account Lifecycle</w:t>
          </w:r>
          <w:r>
            <w:rPr>
              <w:b/>
              <w:bCs/>
              <w:sz w:val="21"/>
              <w:szCs w:val="21"/>
            </w:rPr>
            <w:tab/>
            <w:t>5</w:t>
          </w:r>
        </w:p>
        <w:p>
          <w:pPr>
            <w:tabs>
              <w:tab w:val="right" w:leader="dot" w:pos="9300"/>
            </w:tabs>
            <w:spacing w:after="60"/>
            <w:ind w:left="360"/>
          </w:pPr>
          <w:r>
            <w:rPr>
              <w:sz w:val="20"/>
              <w:szCs w:val="20"/>
            </w:rPr>
            <w:t xml:space="preserve">5.1 Provisioning</w:t>
          </w:r>
          <w:r>
            <w:rPr>
              <w:sz w:val="20"/>
              <w:szCs w:val="20"/>
            </w:rPr>
            <w:tab/>
            <w:t>5</w:t>
          </w:r>
        </w:p>
        <w:p>
          <w:pPr>
            <w:tabs>
              <w:tab w:val="right" w:leader="dot" w:pos="9300"/>
            </w:tabs>
            <w:spacing w:after="60"/>
            <w:ind w:left="360"/>
          </w:pPr>
          <w:r>
            <w:rPr>
              <w:sz w:val="20"/>
              <w:szCs w:val="20"/>
            </w:rPr>
            <w:t xml:space="preserve">5.2 Modification and Review</w:t>
          </w:r>
          <w:r>
            <w:rPr>
              <w:sz w:val="20"/>
              <w:szCs w:val="20"/>
            </w:rPr>
            <w:tab/>
            <w:t>5</w:t>
          </w:r>
        </w:p>
        <w:p>
          <w:pPr>
            <w:tabs>
              <w:tab w:val="right" w:leader="dot" w:pos="9300"/>
            </w:tabs>
            <w:spacing w:after="60"/>
            <w:ind w:left="360"/>
          </w:pPr>
          <w:r>
            <w:rPr>
              <w:sz w:val="20"/>
              <w:szCs w:val="20"/>
            </w:rPr>
            <w:t xml:space="preserve">5.3 Deprovisioning</w:t>
          </w:r>
          <w:r>
            <w:rPr>
              <w:sz w:val="20"/>
              <w:szCs w:val="20"/>
            </w:rPr>
            <w:tab/>
            <w:t>6</w:t>
          </w:r>
        </w:p>
        <w:p>
          <w:pPr>
            <w:tabs>
              <w:tab w:val="right" w:leader="dot" w:pos="9300"/>
            </w:tabs>
            <w:spacing w:after="60"/>
          </w:pPr>
          <w:r>
            <w:rPr>
              <w:b/>
              <w:bCs/>
              <w:sz w:val="21"/>
              <w:szCs w:val="21"/>
            </w:rPr>
            <w:t xml:space="preserve">6. Password Requirements and Management</w:t>
          </w:r>
          <w:r>
            <w:rPr>
              <w:b/>
              <w:bCs/>
              <w:sz w:val="21"/>
              <w:szCs w:val="21"/>
            </w:rPr>
            <w:tab/>
            <w:t>6</w:t>
          </w:r>
        </w:p>
        <w:p>
          <w:pPr>
            <w:tabs>
              <w:tab w:val="right" w:leader="dot" w:pos="9300"/>
            </w:tabs>
            <w:spacing w:after="60"/>
            <w:ind w:left="360"/>
          </w:pPr>
          <w:r>
            <w:rPr>
              <w:sz w:val="20"/>
              <w:szCs w:val="20"/>
            </w:rPr>
            <w:t xml:space="preserve">6.1 Password Standards</w:t>
          </w:r>
          <w:r>
            <w:rPr>
              <w:sz w:val="20"/>
              <w:szCs w:val="20"/>
            </w:rPr>
            <w:tab/>
            <w:t>6</w:t>
          </w:r>
        </w:p>
        <w:p>
          <w:pPr>
            <w:tabs>
              <w:tab w:val="right" w:leader="dot" w:pos="9300"/>
            </w:tabs>
            <w:spacing w:after="60"/>
            <w:ind w:left="360"/>
          </w:pPr>
          <w:r>
            <w:rPr>
              <w:sz w:val="20"/>
              <w:szCs w:val="20"/>
            </w:rPr>
            <w:t xml:space="preserve">6.2 Password Resets and Recovery</w:t>
          </w:r>
          <w:r>
            <w:rPr>
              <w:sz w:val="20"/>
              <w:szCs w:val="20"/>
            </w:rPr>
            <w:tab/>
            <w:t>6</w:t>
          </w:r>
        </w:p>
        <w:p>
          <w:pPr>
            <w:tabs>
              <w:tab w:val="right" w:leader="dot" w:pos="9300"/>
            </w:tabs>
            <w:spacing w:after="60"/>
          </w:pPr>
          <w:r>
            <w:rPr>
              <w:b/>
              <w:bCs/>
              <w:sz w:val="21"/>
              <w:szCs w:val="21"/>
            </w:rPr>
            <w:t xml:space="preserve">7. Multi-Factor Authentication</w:t>
          </w:r>
          <w:r>
            <w:rPr>
              <w:b/>
              <w:bCs/>
              <w:sz w:val="21"/>
              <w:szCs w:val="21"/>
            </w:rPr>
            <w:tab/>
            <w:t>7</w:t>
          </w:r>
        </w:p>
        <w:p>
          <w:pPr>
            <w:tabs>
              <w:tab w:val="right" w:leader="dot" w:pos="9300"/>
            </w:tabs>
            <w:spacing w:after="60"/>
          </w:pPr>
          <w:r>
            <w:rPr>
              <w:b/>
              <w:bCs/>
              <w:sz w:val="21"/>
              <w:szCs w:val="21"/>
            </w:rPr>
            <w:t xml:space="preserve">8. Privileged Access Management</w:t>
          </w:r>
          <w:r>
            <w:rPr>
              <w:b/>
              <w:bCs/>
              <w:sz w:val="21"/>
              <w:szCs w:val="21"/>
            </w:rPr>
            <w:tab/>
            <w:t>7</w:t>
          </w:r>
        </w:p>
        <w:p>
          <w:pPr>
            <w:tabs>
              <w:tab w:val="right" w:leader="dot" w:pos="9300"/>
            </w:tabs>
            <w:spacing w:after="60"/>
          </w:pPr>
          <w:r>
            <w:rPr>
              <w:b/>
              <w:bCs/>
              <w:sz w:val="21"/>
              <w:szCs w:val="21"/>
            </w:rPr>
            <w:t xml:space="preserve">9. Third-Party and Remote Access</w:t>
          </w:r>
          <w:r>
            <w:rPr>
              <w:b/>
              <w:bCs/>
              <w:sz w:val="21"/>
              <w:szCs w:val="21"/>
            </w:rPr>
            <w:tab/>
            <w:t>7</w:t>
          </w:r>
        </w:p>
        <w:p>
          <w:pPr>
            <w:tabs>
              <w:tab w:val="right" w:leader="dot" w:pos="9300"/>
            </w:tabs>
            <w:spacing w:after="60"/>
          </w:pPr>
          <w:r>
            <w:rPr>
              <w:b/>
              <w:bCs/>
              <w:sz w:val="21"/>
              <w:szCs w:val="21"/>
            </w:rPr>
            <w:t xml:space="preserve">10. Mobile Device and Field Access</w:t>
          </w:r>
          <w:r>
            <w:rPr>
              <w:b/>
              <w:bCs/>
              <w:sz w:val="21"/>
              <w:szCs w:val="21"/>
            </w:rPr>
            <w:tab/>
            <w:t>8</w:t>
          </w:r>
        </w:p>
        <w:p>
          <w:pPr>
            <w:tabs>
              <w:tab w:val="right" w:leader="dot" w:pos="9300"/>
            </w:tabs>
            <w:spacing w:after="60"/>
          </w:pPr>
          <w:r>
            <w:rPr>
              <w:b/>
              <w:bCs/>
              <w:sz w:val="21"/>
              <w:szCs w:val="21"/>
            </w:rPr>
            <w:t xml:space="preserve">11. Monitoring, Logging and Incident Response</w:t>
          </w:r>
          <w:r>
            <w:rPr>
              <w:b/>
              <w:bCs/>
              <w:sz w:val="21"/>
              <w:szCs w:val="21"/>
            </w:rPr>
            <w:tab/>
            <w:t>8</w:t>
          </w:r>
        </w:p>
        <w:p>
          <w:pPr>
            <w:tabs>
              <w:tab w:val="right" w:leader="dot" w:pos="9300"/>
            </w:tabs>
            <w:spacing w:after="60"/>
          </w:pPr>
          <w:r>
            <w:rPr>
              <w:b/>
              <w:bCs/>
              <w:sz w:val="21"/>
              <w:szCs w:val="21"/>
            </w:rPr>
            <w:t xml:space="preserve">12. Policy Enforcement, Exceptions and Sanctions</w:t>
          </w:r>
          <w:r>
            <w:rPr>
              <w:b/>
              <w:bCs/>
              <w:sz w:val="21"/>
              <w:szCs w:val="21"/>
            </w:rPr>
            <w:tab/>
            <w:t>8</w:t>
          </w:r>
        </w:p>
        <w:p>
          <w:pPr>
            <w:tabs>
              <w:tab w:val="right" w:leader="dot" w:pos="9300"/>
            </w:tabs>
            <w:spacing w:after="60"/>
          </w:pPr>
          <w:r>
            <w:rPr>
              <w:b/>
              <w:bCs/>
              <w:sz w:val="21"/>
              <w:szCs w:val="21"/>
            </w:rPr>
            <w:t xml:space="preserve">13. Policy Review and Amendment</w:t>
          </w:r>
          <w:r>
            <w:rPr>
              <w:b/>
              <w:bCs/>
              <w:sz w:val="21"/>
              <w:szCs w:val="21"/>
            </w:rPr>
            <w:tab/>
            <w:t>8</w:t>
          </w:r>
        </w:p>
        <w:p>
          <w:pPr>
            <w:tabs>
              <w:tab w:val="right" w:leader="dot" w:pos="9300"/>
            </w:tabs>
            <w:spacing w:after="60"/>
          </w:pPr>
          <w:r>
            <w:rPr>
              <w:b/>
              <w:bCs/>
              <w:sz w:val="21"/>
              <w:szCs w:val="21"/>
            </w:rPr>
            <w:t xml:space="preserve">14. Related Policies and Standards</w:t>
          </w:r>
          <w:r>
            <w:rPr>
              <w:b/>
              <w:bCs/>
              <w:sz w:val="21"/>
              <w:szCs w:val="21"/>
            </w:rPr>
            <w:tab/>
            <w:t>9</w:t>
          </w:r>
        </w:p>
        <w:p>
          <w:pPr>
            <w:tabs>
              <w:tab w:val="right" w:leader="dot" w:pos="9300"/>
            </w:tabs>
            <w:spacing w:after="60"/>
          </w:pPr>
          <w:r>
            <w:rPr>
              <w:b/>
              <w:bCs/>
              <w:sz w:val="21"/>
              <w:szCs w:val="21"/>
            </w:rPr>
            <w:t xml:space="preserve">15. Revision History</w:t>
          </w:r>
          <w:r>
            <w:rPr>
              <w:b/>
              <w:bCs/>
              <w:sz w:val="21"/>
              <w:szCs w:val="21"/>
            </w:rPr>
            <w:tab/>
            <w:t>9</w:t>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Introduction and Policy Statement</w:t>
      </w:r>
    </w:p>
    <w:p>
      <w:pPr>
        <w:spacing w:after="150" w:line="276"/>
      </w:pPr>
      <w:r>
        <w:rPr>
          <w:sz w:val="21"/>
          <w:szCs w:val="21"/>
        </w:rPr>
        <w:t xml:space="preserve">Falcon Freight Solutions ("Falcon Freight", "the Company") is a mid-sized logistics and supply chain company established in 2018, headquartered in Johannesburg, South Africa, with operations across Southern and East Africa. Falcon Freight's hybrid infrastructure — comprising a cloud-based shipment tracking platform, an on-premise warehouse management system, corporate IT systems, and mobile devices used by delivery contractors and customs brokers — depends on strong authentication and disciplined access control to protect customer, shipment, and employee data.</w:t>
      </w:r>
    </w:p>
    <w:p>
      <w:pPr>
        <w:spacing w:after="150" w:line="276"/>
      </w:pPr>
      <w:r>
        <w:rPr>
          <w:sz w:val="21"/>
          <w:szCs w:val="21"/>
        </w:rPr>
        <w:t xml:space="preserve">As Falcon Freight has expanded into new regions and onboarded a growing number of employees, customs brokers, and subcontracted delivery contractors, weak or inconsistently enforced access controls have become a significant source of risk. This Password &amp; Access Control Policy ("the Policy") establishes the mandatory requirements for authentication, account management, and access control across all Falcon Freight systems, whether used by employees, contractors, or third parties.</w:t>
      </w:r>
    </w:p>
    <w:p>
      <w:pPr>
        <w:pStyle w:val="Heading2"/>
        <w:spacing w:after="150" w:before="300"/>
      </w:pPr>
      <w:r>
        <w:rPr>
          <w:b/>
          <w:bCs/>
          <w:color w:val="2E5395"/>
          <w:sz w:val="25"/>
          <w:szCs w:val="25"/>
        </w:rPr>
        <w:t xml:space="preserve">1.1 Policy Statement</w:t>
      </w:r>
    </w:p>
    <w:p>
      <w:pPr>
        <w:spacing w:after="150" w:line="276"/>
      </w:pPr>
      <w:r>
        <w:rPr>
          <w:sz w:val="21"/>
          <w:szCs w:val="21"/>
        </w:rPr>
        <w:t xml:space="preserve">Falcon Freight is committed to ensuring that access to its systems, applications, and data is granted only to authorized individuals, on the principle of least privilege and need-to-know, and is protected by authentication controls proportionate to the sensitivity of the information accessed. This Policy is aligned with ISO/IEC 27001:2022 and informed by the NIST Cybersecurity Framework (CSF), and supports Falcon Freight's obligations under the South African Protection of Personal Information Act (POPIA), applicable East African data protection laws, and, where relevant, the EU General Data Protection Regulation (GDPR).</w:t>
      </w:r>
    </w:p>
    <w:p>
      <w:pPr>
        <w:pStyle w:val="Heading1"/>
        <w:pBdr>
          <w:bottom w:val="single" w:color="1F3864" w:sz="6" w:space="4"/>
        </w:pBdr>
        <w:spacing w:after="200" w:before="400"/>
      </w:pPr>
      <w:r>
        <w:rPr>
          <w:b/>
          <w:bCs/>
          <w:color w:val="1F3864"/>
          <w:sz w:val="30"/>
          <w:szCs w:val="30"/>
        </w:rPr>
        <w:t xml:space="preserve">2. Purpose, Scope and Objectives</w:t>
      </w:r>
    </w:p>
    <w:p>
      <w:pPr>
        <w:pStyle w:val="Heading2"/>
        <w:spacing w:after="150" w:before="300"/>
      </w:pPr>
      <w:r>
        <w:rPr>
          <w:b/>
          <w:bCs/>
          <w:color w:val="2E5395"/>
          <w:sz w:val="25"/>
          <w:szCs w:val="25"/>
        </w:rPr>
        <w:t xml:space="preserve">2.1 Purpose</w:t>
      </w:r>
    </w:p>
    <w:p>
      <w:pPr>
        <w:pStyle w:val="ListParagraph"/>
        <w:numPr>
          <w:ilvl w:val="0"/>
          <w:numId w:val="1"/>
        </w:numPr>
        <w:spacing w:after="90" w:line="276"/>
      </w:pPr>
      <w:r>
        <w:rPr>
          <w:sz w:val="21"/>
          <w:szCs w:val="21"/>
        </w:rPr>
        <w:t xml:space="preserve">Protect Falcon Freight's systems, applications, and data from unauthorized access, whether through weak passwords, credential compromise, or excessive access privileges.</w:t>
      </w:r>
    </w:p>
    <w:p>
      <w:pPr>
        <w:pStyle w:val="ListParagraph"/>
        <w:numPr>
          <w:ilvl w:val="0"/>
          <w:numId w:val="1"/>
        </w:numPr>
        <w:spacing w:after="90" w:line="276"/>
      </w:pPr>
      <w:r>
        <w:rPr>
          <w:sz w:val="21"/>
          <w:szCs w:val="21"/>
        </w:rPr>
        <w:t xml:space="preserve">Establish minimum password, authentication, and account management standards that apply consistently across head office, regional operations, and third parties.</w:t>
      </w:r>
    </w:p>
    <w:p>
      <w:pPr>
        <w:pStyle w:val="ListParagraph"/>
        <w:numPr>
          <w:ilvl w:val="0"/>
          <w:numId w:val="1"/>
        </w:numPr>
        <w:spacing w:after="90" w:line="276"/>
      </w:pPr>
      <w:r>
        <w:rPr>
          <w:sz w:val="21"/>
          <w:szCs w:val="21"/>
        </w:rPr>
        <w:t xml:space="preserve">Ensure access is granted, reviewed, and revoked in a controlled and auditable manner throughout the user account lifecycle.</w:t>
      </w:r>
    </w:p>
    <w:p>
      <w:pPr>
        <w:pStyle w:val="ListParagraph"/>
        <w:numPr>
          <w:ilvl w:val="0"/>
          <w:numId w:val="1"/>
        </w:numPr>
        <w:spacing w:after="90" w:line="276"/>
      </w:pPr>
      <w:r>
        <w:rPr>
          <w:sz w:val="21"/>
          <w:szCs w:val="21"/>
        </w:rPr>
        <w:t xml:space="preserve">Provide a consistent baseline for access control across the cloud-based shipment tracking platform, the on-premise warehouse management system, and all interconnected third-party systems.</w:t>
      </w:r>
    </w:p>
    <w:p>
      <w:pPr>
        <w:pStyle w:val="ListParagraph"/>
        <w:numPr>
          <w:ilvl w:val="0"/>
          <w:numId w:val="1"/>
        </w:numPr>
        <w:spacing w:after="90" w:line="276"/>
      </w:pPr>
      <w:r>
        <w:rPr>
          <w:sz w:val="21"/>
          <w:szCs w:val="21"/>
        </w:rPr>
        <w:t xml:space="preserve">Reduce the risk of account compromise, credential theft, and unauthorized data access.</w:t>
      </w:r>
    </w:p>
    <w:p>
      <w:pPr>
        <w:pStyle w:val="Heading2"/>
        <w:spacing w:after="150" w:before="300"/>
      </w:pPr>
      <w:r>
        <w:rPr>
          <w:b/>
          <w:bCs/>
          <w:color w:val="2E5395"/>
          <w:sz w:val="25"/>
          <w:szCs w:val="25"/>
        </w:rPr>
        <w:t xml:space="preserve">2.2 Scope</w:t>
      </w:r>
    </w:p>
    <w:p>
      <w:pPr>
        <w:spacing w:after="150" w:line="276"/>
      </w:pPr>
      <w:r>
        <w:rPr>
          <w:sz w:val="21"/>
          <w:szCs w:val="21"/>
        </w:rPr>
        <w:t xml:space="preserve">This Policy applies to:</w:t>
      </w:r>
    </w:p>
    <w:p>
      <w:pPr>
        <w:pStyle w:val="ListParagraph"/>
        <w:numPr>
          <w:ilvl w:val="0"/>
          <w:numId w:val="1"/>
        </w:numPr>
        <w:spacing w:after="90" w:line="276"/>
      </w:pPr>
      <w:r>
        <w:rPr>
          <w:sz w:val="21"/>
          <w:szCs w:val="21"/>
        </w:rPr>
        <w:t xml:space="preserve">All Falcon Freight employees, management, and directors, at head office (Johannesburg, South Africa) and in all regional offices across Southern and East Africa.</w:t>
      </w:r>
    </w:p>
    <w:p>
      <w:pPr>
        <w:pStyle w:val="ListParagraph"/>
        <w:numPr>
          <w:ilvl w:val="0"/>
          <w:numId w:val="1"/>
        </w:numPr>
        <w:spacing w:after="90" w:line="276"/>
      </w:pPr>
      <w:r>
        <w:rPr>
          <w:sz w:val="21"/>
          <w:szCs w:val="21"/>
        </w:rPr>
        <w:t xml:space="preserve">All contractors, temporary staff, and interns engaged by Falcon Freight.</w:t>
      </w:r>
    </w:p>
    <w:p>
      <w:pPr>
        <w:pStyle w:val="ListParagraph"/>
        <w:numPr>
          <w:ilvl w:val="0"/>
          <w:numId w:val="1"/>
        </w:numPr>
        <w:spacing w:after="90" w:line="276"/>
      </w:pPr>
      <w:r>
        <w:rPr>
          <w:sz w:val="21"/>
          <w:szCs w:val="21"/>
        </w:rPr>
        <w:t xml:space="preserve">All third-party customs brokers and subcontracted delivery contractors who are provisioned with credentials to access Falcon Freight or customer information.</w:t>
      </w:r>
    </w:p>
    <w:p>
      <w:pPr>
        <w:pStyle w:val="ListParagraph"/>
        <w:numPr>
          <w:ilvl w:val="0"/>
          <w:numId w:val="1"/>
        </w:numPr>
        <w:spacing w:after="90" w:line="276"/>
      </w:pPr>
      <w:r>
        <w:rPr>
          <w:sz w:val="21"/>
          <w:szCs w:val="21"/>
        </w:rPr>
        <w:t xml:space="preserve">All vendors and technology partners with user accounts or administrative access to Falcon Freight systems, including the provider of the cloud-based shipment tracking platform.</w:t>
      </w:r>
    </w:p>
    <w:p>
      <w:pPr>
        <w:pStyle w:val="ListParagraph"/>
        <w:numPr>
          <w:ilvl w:val="0"/>
          <w:numId w:val="1"/>
        </w:numPr>
        <w:spacing w:after="90" w:line="276"/>
      </w:pPr>
      <w:r>
        <w:rPr>
          <w:sz w:val="21"/>
          <w:szCs w:val="21"/>
        </w:rPr>
        <w:t xml:space="preserve">All Falcon Freight systems and accounts, including the cloud-based shipment tracking platform, the on-premise warehouse management system, corporate IT systems, email and collaboration tools, and mobile devices used by delivery contractors and customs brokers.</w:t>
      </w:r>
    </w:p>
    <w:p>
      <w:pPr>
        <w:pStyle w:val="Heading2"/>
        <w:spacing w:after="150" w:before="300"/>
      </w:pPr>
      <w:r>
        <w:rPr>
          <w:b/>
          <w:bCs/>
          <w:color w:val="2E5395"/>
          <w:sz w:val="25"/>
          <w:szCs w:val="25"/>
        </w:rPr>
        <w:t xml:space="preserve">2.3 Objectives</w:t>
      </w:r>
    </w:p>
    <w:p>
      <w:pPr>
        <w:pStyle w:val="ListParagraph"/>
        <w:numPr>
          <w:ilvl w:val="0"/>
          <w:numId w:val="2"/>
        </w:numPr>
        <w:spacing w:after="90" w:line="276"/>
      </w:pPr>
      <w:r>
        <w:rPr>
          <w:sz w:val="21"/>
          <w:szCs w:val="21"/>
        </w:rPr>
        <w:t xml:space="preserve">Maintain certification-aligned conformity with ISO/IEC 27001:2022 access control requirements across all in-scope systems.</w:t>
      </w:r>
    </w:p>
    <w:p>
      <w:pPr>
        <w:pStyle w:val="ListParagraph"/>
        <w:numPr>
          <w:ilvl w:val="0"/>
          <w:numId w:val="2"/>
        </w:numPr>
        <w:spacing w:after="90" w:line="276"/>
      </w:pPr>
      <w:r>
        <w:rPr>
          <w:sz w:val="21"/>
          <w:szCs w:val="21"/>
        </w:rPr>
        <w:t xml:space="preserve">Ensure multi-factor authentication (MFA) is enforced for all remote, administrative, and sensitive-data access.</w:t>
      </w:r>
    </w:p>
    <w:p>
      <w:pPr>
        <w:pStyle w:val="ListParagraph"/>
        <w:numPr>
          <w:ilvl w:val="0"/>
          <w:numId w:val="2"/>
        </w:numPr>
        <w:spacing w:after="90" w:line="276"/>
      </w:pPr>
      <w:r>
        <w:rPr>
          <w:sz w:val="21"/>
          <w:szCs w:val="21"/>
        </w:rPr>
        <w:t xml:space="preserve">Ensure access rights are reviewed at least every six months and immediately upon role change or termination.</w:t>
      </w:r>
    </w:p>
    <w:p>
      <w:pPr>
        <w:pStyle w:val="ListParagraph"/>
        <w:numPr>
          <w:ilvl w:val="0"/>
          <w:numId w:val="2"/>
        </w:numPr>
        <w:spacing w:after="90" w:line="276"/>
      </w:pPr>
      <w:r>
        <w:rPr>
          <w:sz w:val="21"/>
          <w:szCs w:val="21"/>
        </w:rPr>
        <w:t xml:space="preserve">Ensure every third party is provisioned with the minimum access necessary for its function.</w:t>
      </w:r>
    </w:p>
    <w:p>
      <w:pPr>
        <w:pStyle w:val="ListParagraph"/>
        <w:numPr>
          <w:ilvl w:val="0"/>
          <w:numId w:val="2"/>
        </w:numPr>
        <w:spacing w:after="90" w:line="276"/>
      </w:pPr>
      <w:r>
        <w:rPr>
          <w:sz w:val="21"/>
          <w:szCs w:val="21"/>
        </w:rPr>
        <w:t xml:space="preserve">Detect and respond promptly to anomalous authentication activity or suspected credential compromise.</w:t>
      </w:r>
    </w:p>
    <w:p>
      <w:pPr>
        <w:pStyle w:val="Heading1"/>
        <w:pBdr>
          <w:bottom w:val="single" w:color="1F3864" w:sz="6" w:space="4"/>
        </w:pBdr>
        <w:spacing w:after="200" w:before="400"/>
      </w:pPr>
      <w:r>
        <w:rPr>
          <w:b/>
          <w:bCs/>
          <w:color w:val="1F3864"/>
          <w:sz w:val="30"/>
          <w:szCs w:val="30"/>
        </w:rPr>
        <w:t xml:space="preserve">3. Governance and Roles &amp; Responsibilities</w:t>
      </w:r>
    </w:p>
    <w:p>
      <w:pPr>
        <w:spacing w:after="150" w:line="276"/>
      </w:pPr>
      <w:r>
        <w:rPr>
          <w:sz w:val="21"/>
          <w:szCs w:val="21"/>
        </w:rPr>
        <w:t xml:space="preserve">Falcon Freight operates a three-tiered governance structure to ensure accountability for password and access control is clear at the Board, management, and operational levels.</w:t>
      </w:r>
    </w:p>
    <w:p>
      <w:pPr>
        <w:pStyle w:val="Heading2"/>
        <w:spacing w:after="150" w:before="300"/>
      </w:pPr>
      <w:r>
        <w:rPr>
          <w:b/>
          <w:bCs/>
          <w:color w:val="2E5395"/>
          <w:sz w:val="25"/>
          <w:szCs w:val="25"/>
        </w:rPr>
        <w:t xml:space="preserve">3.1 Roles and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Role</w:t>
            </w:r>
          </w:p>
        </w:tc>
        <w:tc>
          <w:tcPr>
            <w:tcW w:type="dxa" w:w="6800"/>
            <w:shd w:fill="1F3864" w:val="clear"/>
            <w:tcMar>
              <w:top w:type="dxa" w:w="80"/>
              <w:left w:type="dxa" w:w="100"/>
              <w:bottom w:type="dxa" w:w="80"/>
              <w:right w:type="dxa" w:w="100"/>
            </w:tcMar>
            <w:vAlign w:val="center"/>
          </w:tcPr>
          <w:p>
            <w:pPr>
              <w:spacing w:after="40"/>
            </w:pPr>
            <w:r>
              <w:rPr>
                <w:b/>
                <w:bCs/>
                <w:color w:val="FFFFFF"/>
                <w:sz w:val="20"/>
                <w:szCs w:val="20"/>
              </w:rPr>
              <w:t xml:space="preserve">Key Responsibilities</w:t>
            </w:r>
          </w:p>
        </w:tc>
      </w:tr>
      <w:tr>
        <w:tc>
          <w:tcPr>
            <w:tcW w:type="dxa" w:w="2600"/>
            <w:tcMar>
              <w:top w:type="dxa" w:w="80"/>
              <w:left w:type="dxa" w:w="100"/>
              <w:bottom w:type="dxa" w:w="80"/>
              <w:right w:type="dxa" w:w="100"/>
            </w:tcMar>
          </w:tcPr>
          <w:p>
            <w:pPr>
              <w:spacing w:after="40"/>
            </w:pPr>
            <w:r>
              <w:rPr>
                <w:sz w:val="20"/>
                <w:szCs w:val="20"/>
              </w:rPr>
              <w:t xml:space="preserve">Board Risk &amp; Audit Committee</w:t>
            </w:r>
          </w:p>
        </w:tc>
        <w:tc>
          <w:tcPr>
            <w:tcW w:type="dxa" w:w="6800"/>
            <w:tcMar>
              <w:top w:type="dxa" w:w="80"/>
              <w:left w:type="dxa" w:w="100"/>
              <w:bottom w:type="dxa" w:w="80"/>
              <w:right w:type="dxa" w:w="100"/>
            </w:tcMar>
          </w:tcPr>
          <w:p>
            <w:pPr>
              <w:spacing w:after="40"/>
            </w:pPr>
            <w:r>
              <w:rPr>
                <w:sz w:val="20"/>
                <w:szCs w:val="20"/>
              </w:rPr>
              <w:t xml:space="preserve">Approves this Policy and the overall risk appetite; receives quarterly reporting on access-related incidents and audit outcomes.</w:t>
            </w:r>
          </w:p>
        </w:tc>
      </w:tr>
      <w:tr>
        <w:tc>
          <w:tcPr>
            <w:tcW w:type="dxa" w:w="2600"/>
            <w:tcMar>
              <w:top w:type="dxa" w:w="80"/>
              <w:left w:type="dxa" w:w="100"/>
              <w:bottom w:type="dxa" w:w="80"/>
              <w:right w:type="dxa" w:w="100"/>
            </w:tcMar>
          </w:tcPr>
          <w:p>
            <w:pPr>
              <w:spacing w:after="40"/>
            </w:pPr>
            <w:r>
              <w:rPr>
                <w:sz w:val="20"/>
                <w:szCs w:val="20"/>
              </w:rPr>
              <w:t xml:space="preserve">Chief Information Security Officer (CISO)</w:t>
            </w:r>
          </w:p>
        </w:tc>
        <w:tc>
          <w:tcPr>
            <w:tcW w:type="dxa" w:w="6800"/>
            <w:tcMar>
              <w:top w:type="dxa" w:w="80"/>
              <w:left w:type="dxa" w:w="100"/>
              <w:bottom w:type="dxa" w:w="80"/>
              <w:right w:type="dxa" w:w="100"/>
            </w:tcMar>
          </w:tcPr>
          <w:p>
            <w:pPr>
              <w:spacing w:after="40"/>
            </w:pPr>
            <w:r>
              <w:rPr>
                <w:sz w:val="20"/>
                <w:szCs w:val="20"/>
              </w:rPr>
              <w:t xml:space="preserve">Owns this Policy; sets authentication and access control standards; approves exceptions; reports to the Board and Executive Committee.</w:t>
            </w:r>
          </w:p>
        </w:tc>
      </w:tr>
      <w:tr>
        <w:tc>
          <w:tcPr>
            <w:tcW w:type="dxa" w:w="2600"/>
            <w:tcMar>
              <w:top w:type="dxa" w:w="80"/>
              <w:left w:type="dxa" w:w="100"/>
              <w:bottom w:type="dxa" w:w="80"/>
              <w:right w:type="dxa" w:w="100"/>
            </w:tcMar>
          </w:tcPr>
          <w:p>
            <w:pPr>
              <w:spacing w:after="40"/>
            </w:pPr>
            <w:r>
              <w:rPr>
                <w:sz w:val="20"/>
                <w:szCs w:val="20"/>
              </w:rPr>
              <w:t xml:space="preserve">Head of IT Operations</w:t>
            </w:r>
          </w:p>
        </w:tc>
        <w:tc>
          <w:tcPr>
            <w:tcW w:type="dxa" w:w="6800"/>
            <w:tcMar>
              <w:top w:type="dxa" w:w="80"/>
              <w:left w:type="dxa" w:w="100"/>
              <w:bottom w:type="dxa" w:w="80"/>
              <w:right w:type="dxa" w:w="100"/>
            </w:tcMar>
          </w:tcPr>
          <w:p>
            <w:pPr>
              <w:spacing w:after="40"/>
            </w:pPr>
            <w:r>
              <w:rPr>
                <w:sz w:val="20"/>
                <w:szCs w:val="20"/>
              </w:rPr>
              <w:t xml:space="preserve">Administers identity and access management tooling; enforces password and MFA configuration across corporate systems; manages the on-premise warehouse management system's access controls.</w:t>
            </w:r>
          </w:p>
        </w:tc>
      </w:tr>
      <w:tr>
        <w:tc>
          <w:tcPr>
            <w:tcW w:type="dxa" w:w="2600"/>
            <w:tcMar>
              <w:top w:type="dxa" w:w="80"/>
              <w:left w:type="dxa" w:w="100"/>
              <w:bottom w:type="dxa" w:w="80"/>
              <w:right w:type="dxa" w:w="100"/>
            </w:tcMar>
          </w:tcPr>
          <w:p>
            <w:pPr>
              <w:spacing w:after="40"/>
            </w:pPr>
            <w:r>
              <w:rPr>
                <w:sz w:val="20"/>
                <w:szCs w:val="20"/>
              </w:rPr>
              <w:t xml:space="preserve">System/Application Owners</w:t>
            </w:r>
          </w:p>
        </w:tc>
        <w:tc>
          <w:tcPr>
            <w:tcW w:type="dxa" w:w="6800"/>
            <w:tcMar>
              <w:top w:type="dxa" w:w="80"/>
              <w:left w:type="dxa" w:w="100"/>
              <w:bottom w:type="dxa" w:w="80"/>
              <w:right w:type="dxa" w:w="100"/>
            </w:tcMar>
          </w:tcPr>
          <w:p>
            <w:pPr>
              <w:spacing w:after="40"/>
            </w:pPr>
            <w:r>
              <w:rPr>
                <w:sz w:val="20"/>
                <w:szCs w:val="20"/>
              </w:rPr>
              <w:t xml:space="preserve">Approve access requests for their systems; participate in periodic access reviews; ensure role definitions reflect least privilege.</w:t>
            </w:r>
          </w:p>
        </w:tc>
      </w:tr>
      <w:tr>
        <w:tc>
          <w:tcPr>
            <w:tcW w:type="dxa" w:w="2600"/>
            <w:tcMar>
              <w:top w:type="dxa" w:w="80"/>
              <w:left w:type="dxa" w:w="100"/>
              <w:bottom w:type="dxa" w:w="80"/>
              <w:right w:type="dxa" w:w="100"/>
            </w:tcMar>
          </w:tcPr>
          <w:p>
            <w:pPr>
              <w:spacing w:after="40"/>
            </w:pPr>
            <w:r>
              <w:rPr>
                <w:sz w:val="20"/>
                <w:szCs w:val="20"/>
              </w:rPr>
              <w:t xml:space="preserve">Regional IT/Security Leads</w:t>
            </w:r>
          </w:p>
        </w:tc>
        <w:tc>
          <w:tcPr>
            <w:tcW w:type="dxa" w:w="6800"/>
            <w:tcMar>
              <w:top w:type="dxa" w:w="80"/>
              <w:left w:type="dxa" w:w="100"/>
              <w:bottom w:type="dxa" w:w="80"/>
              <w:right w:type="dxa" w:w="100"/>
            </w:tcMar>
          </w:tcPr>
          <w:p>
            <w:pPr>
              <w:spacing w:after="40"/>
            </w:pPr>
            <w:r>
              <w:rPr>
                <w:sz w:val="20"/>
                <w:szCs w:val="20"/>
              </w:rPr>
              <w:t xml:space="preserve">Implement and enforce this Policy within their country of operation; provision and de-provision access for local employees, brokers, and delivery contractors.</w:t>
            </w:r>
          </w:p>
        </w:tc>
      </w:tr>
      <w:tr>
        <w:tc>
          <w:tcPr>
            <w:tcW w:type="dxa" w:w="2600"/>
            <w:tcMar>
              <w:top w:type="dxa" w:w="80"/>
              <w:left w:type="dxa" w:w="100"/>
              <w:bottom w:type="dxa" w:w="80"/>
              <w:right w:type="dxa" w:w="100"/>
            </w:tcMar>
          </w:tcPr>
          <w:p>
            <w:pPr>
              <w:spacing w:after="40"/>
            </w:pPr>
            <w:r>
              <w:rPr>
                <w:sz w:val="20"/>
                <w:szCs w:val="20"/>
              </w:rPr>
              <w:t xml:space="preserve">Information Officer (Data Protection)</w:t>
            </w:r>
          </w:p>
        </w:tc>
        <w:tc>
          <w:tcPr>
            <w:tcW w:type="dxa" w:w="6800"/>
            <w:tcMar>
              <w:top w:type="dxa" w:w="80"/>
              <w:left w:type="dxa" w:w="100"/>
              <w:bottom w:type="dxa" w:w="80"/>
              <w:right w:type="dxa" w:w="100"/>
            </w:tcMar>
          </w:tcPr>
          <w:p>
            <w:pPr>
              <w:spacing w:after="40"/>
            </w:pPr>
            <w:r>
              <w:rPr>
                <w:sz w:val="20"/>
                <w:szCs w:val="20"/>
              </w:rPr>
              <w:t xml:space="preserve">Advises on access control requirements for systems processing personal data; supports investigations into access-related data incidents.</w:t>
            </w:r>
          </w:p>
        </w:tc>
      </w:tr>
      <w:tr>
        <w:tc>
          <w:tcPr>
            <w:tcW w:type="dxa" w:w="2600"/>
            <w:tcMar>
              <w:top w:type="dxa" w:w="80"/>
              <w:left w:type="dxa" w:w="100"/>
              <w:bottom w:type="dxa" w:w="80"/>
              <w:right w:type="dxa" w:w="100"/>
            </w:tcMar>
          </w:tcPr>
          <w:p>
            <w:pPr>
              <w:spacing w:after="40"/>
            </w:pPr>
            <w:r>
              <w:rPr>
                <w:sz w:val="20"/>
                <w:szCs w:val="20"/>
              </w:rPr>
              <w:t xml:space="preserve">All Employees, Brokers and Delivery Contractors</w:t>
            </w:r>
          </w:p>
        </w:tc>
        <w:tc>
          <w:tcPr>
            <w:tcW w:type="dxa" w:w="6800"/>
            <w:tcMar>
              <w:top w:type="dxa" w:w="80"/>
              <w:left w:type="dxa" w:w="100"/>
              <w:bottom w:type="dxa" w:w="80"/>
              <w:right w:type="dxa" w:w="100"/>
            </w:tcMar>
          </w:tcPr>
          <w:p>
            <w:pPr>
              <w:spacing w:after="40"/>
            </w:pPr>
            <w:r>
              <w:rPr>
                <w:sz w:val="20"/>
                <w:szCs w:val="20"/>
              </w:rPr>
              <w:t xml:space="preserve">Protect their own credentials; use only their assigned accounts; report suspected compromise or suspicious activity immediately.</w:t>
            </w:r>
          </w:p>
        </w:tc>
      </w:tr>
    </w:tbl>
    <w:p>
      <w:pPr>
        <w:pStyle w:val="Heading2"/>
        <w:spacing w:after="150" w:before="300"/>
      </w:pPr>
      <w:r>
        <w:rPr>
          <w:b/>
          <w:bCs/>
          <w:color w:val="2E5395"/>
          <w:sz w:val="25"/>
          <w:szCs w:val="25"/>
        </w:rPr>
        <w:t xml:space="preserve">3.2 Information Security Steering Committee</w:t>
      </w:r>
    </w:p>
    <w:p>
      <w:pPr>
        <w:spacing w:after="150" w:line="276"/>
      </w:pPr>
      <w:r>
        <w:rPr>
          <w:sz w:val="21"/>
          <w:szCs w:val="21"/>
        </w:rPr>
        <w:t xml:space="preserve">The Information Security Steering Committee (ISSC), chaired by the CISO and including the Head of IT Operations, the Information Officer, Regional IT/Security Leads, and senior representatives from Operations, reviews access review completion rates, authentication incidents, and outstanding exceptions at each quarterly meeting.</w:t>
      </w:r>
    </w:p>
    <w:p>
      <w:pPr>
        <w:pStyle w:val="Heading1"/>
        <w:pBdr>
          <w:bottom w:val="single" w:color="1F3864" w:sz="6" w:space="4"/>
        </w:pBdr>
        <w:spacing w:after="200" w:before="400"/>
      </w:pPr>
      <w:r>
        <w:rPr>
          <w:b/>
          <w:bCs/>
          <w:color w:val="1F3864"/>
          <w:sz w:val="30"/>
          <w:szCs w:val="30"/>
        </w:rPr>
        <w:t xml:space="preserve">4. Access Control Principles</w:t>
      </w:r>
    </w:p>
    <w:p>
      <w:pPr>
        <w:pStyle w:val="ListParagraph"/>
        <w:numPr>
          <w:ilvl w:val="0"/>
          <w:numId w:val="1"/>
        </w:numPr>
        <w:spacing w:after="90" w:line="276"/>
      </w:pPr>
      <w:r>
        <w:rPr>
          <w:sz w:val="21"/>
          <w:szCs w:val="21"/>
        </w:rPr>
        <w:t xml:space="preserve">Access to all Falcon Freight systems is granted on the principle of least privilege and need-to-know.</w:t>
      </w:r>
    </w:p>
    <w:p>
      <w:pPr>
        <w:pStyle w:val="ListParagraph"/>
        <w:numPr>
          <w:ilvl w:val="0"/>
          <w:numId w:val="1"/>
        </w:numPr>
        <w:spacing w:after="90" w:line="276"/>
      </w:pPr>
      <w:r>
        <w:rPr>
          <w:sz w:val="21"/>
          <w:szCs w:val="21"/>
        </w:rPr>
        <w:t xml:space="preserve">Role-based access control (RBAC) is used across the shipment tracking system, the warehouse management system, and corporate applications, with access tied to defined job roles rather than assigned on an ad hoc basis.</w:t>
      </w:r>
    </w:p>
    <w:p>
      <w:pPr>
        <w:pStyle w:val="ListParagraph"/>
        <w:numPr>
          <w:ilvl w:val="0"/>
          <w:numId w:val="1"/>
        </w:numPr>
        <w:spacing w:after="90" w:line="276"/>
      </w:pPr>
      <w:r>
        <w:rPr>
          <w:sz w:val="21"/>
          <w:szCs w:val="21"/>
        </w:rPr>
        <w:t xml:space="preserve">Segregation of duties is applied to sensitive functions (e.g., financial transactions, user administration) so that no single individual can execute a high-risk process end to end without independent oversight.</w:t>
      </w:r>
    </w:p>
    <w:p>
      <w:pPr>
        <w:pStyle w:val="ListParagraph"/>
        <w:numPr>
          <w:ilvl w:val="0"/>
          <w:numId w:val="1"/>
        </w:numPr>
        <w:spacing w:after="90" w:line="276"/>
      </w:pPr>
      <w:r>
        <w:rPr>
          <w:sz w:val="21"/>
          <w:szCs w:val="21"/>
        </w:rPr>
        <w:t xml:space="preserve">Standing access to Restricted or Confidential data is avoided wherever possible in favor of time-bound or approval-based access.</w:t>
      </w:r>
    </w:p>
    <w:p>
      <w:pPr>
        <w:pStyle w:val="ListParagraph"/>
        <w:numPr>
          <w:ilvl w:val="0"/>
          <w:numId w:val="1"/>
        </w:numPr>
        <w:spacing w:after="90" w:line="276"/>
      </w:pPr>
      <w:r>
        <w:rPr>
          <w:sz w:val="21"/>
          <w:szCs w:val="21"/>
        </w:rPr>
        <w:t xml:space="preserve">Third-party customs brokers and subcontracted delivery contractors are provisioned with the minimum access necessary to perform their function (e.g., delivery status updates, proof-of-delivery capture) and are never granted standing access to backend systems.</w:t>
      </w:r>
    </w:p>
    <w:p>
      <w:pPr>
        <w:pStyle w:val="Heading1"/>
        <w:pBdr>
          <w:bottom w:val="single" w:color="1F3864" w:sz="6" w:space="4"/>
        </w:pBdr>
        <w:spacing w:after="200" w:before="400"/>
      </w:pPr>
      <w:r>
        <w:rPr>
          <w:b/>
          <w:bCs/>
          <w:color w:val="1F3864"/>
          <w:sz w:val="30"/>
          <w:szCs w:val="30"/>
        </w:rPr>
        <w:t xml:space="preserve">5. User Account Lifecycle</w:t>
      </w:r>
    </w:p>
    <w:p>
      <w:pPr>
        <w:pStyle w:val="Heading2"/>
        <w:spacing w:after="150" w:before="300"/>
      </w:pPr>
      <w:r>
        <w:rPr>
          <w:b/>
          <w:bCs/>
          <w:color w:val="2E5395"/>
          <w:sz w:val="25"/>
          <w:szCs w:val="25"/>
        </w:rPr>
        <w:t xml:space="preserve">5.1 Provisioning</w:t>
      </w:r>
    </w:p>
    <w:p>
      <w:pPr>
        <w:pStyle w:val="ListParagraph"/>
        <w:numPr>
          <w:ilvl w:val="0"/>
          <w:numId w:val="1"/>
        </w:numPr>
        <w:spacing w:after="90" w:line="276"/>
      </w:pPr>
      <w:r>
        <w:rPr>
          <w:sz w:val="21"/>
          <w:szCs w:val="21"/>
        </w:rPr>
        <w:t xml:space="preserve">All account creation requests must be submitted through the approved access request process and approved by the relevant System/Application Owner.</w:t>
      </w:r>
    </w:p>
    <w:p>
      <w:pPr>
        <w:pStyle w:val="ListParagraph"/>
        <w:numPr>
          <w:ilvl w:val="0"/>
          <w:numId w:val="1"/>
        </w:numPr>
        <w:spacing w:after="90" w:line="276"/>
      </w:pPr>
      <w:r>
        <w:rPr>
          <w:sz w:val="21"/>
          <w:szCs w:val="21"/>
        </w:rPr>
        <w:t xml:space="preserve">Accounts are created with the minimum role and privilege level required for the individual's function, and named to a single, identifiable individual — shared or generic accounts are prohibited except where formally approved and compensating controls (e.g., enhanced logging) are documented.</w:t>
      </w:r>
    </w:p>
    <w:p>
      <w:pPr>
        <w:pStyle w:val="ListParagraph"/>
        <w:numPr>
          <w:ilvl w:val="0"/>
          <w:numId w:val="1"/>
        </w:numPr>
        <w:spacing w:after="90" w:line="276"/>
      </w:pPr>
      <w:r>
        <w:rPr>
          <w:sz w:val="21"/>
          <w:szCs w:val="21"/>
        </w:rPr>
        <w:t xml:space="preserve">New employees, contractors, brokers, and delivery contractors may not be granted system access until due diligence, background checks (where applicable), and mandatory security induction training are complete.</w:t>
      </w:r>
    </w:p>
    <w:p>
      <w:pPr>
        <w:pStyle w:val="Heading2"/>
        <w:spacing w:after="150" w:before="300"/>
      </w:pPr>
      <w:r>
        <w:rPr>
          <w:b/>
          <w:bCs/>
          <w:color w:val="2E5395"/>
          <w:sz w:val="25"/>
          <w:szCs w:val="25"/>
        </w:rPr>
        <w:t xml:space="preserve">5.2 Modification and Review</w:t>
      </w:r>
    </w:p>
    <w:p>
      <w:pPr>
        <w:pStyle w:val="ListParagraph"/>
        <w:numPr>
          <w:ilvl w:val="0"/>
          <w:numId w:val="1"/>
        </w:numPr>
        <w:spacing w:after="90" w:line="276"/>
      </w:pPr>
      <w:r>
        <w:rPr>
          <w:sz w:val="21"/>
          <w:szCs w:val="21"/>
        </w:rPr>
        <w:t xml:space="preserve">Access rights are reviewed at least every six months by the relevant System/Application Owner, and immediately upon a change in role, department, or employment status.</w:t>
      </w:r>
    </w:p>
    <w:p>
      <w:pPr>
        <w:pStyle w:val="ListParagraph"/>
        <w:numPr>
          <w:ilvl w:val="0"/>
          <w:numId w:val="1"/>
        </w:numPr>
        <w:spacing w:after="90" w:line="276"/>
      </w:pPr>
      <w:r>
        <w:rPr>
          <w:sz w:val="21"/>
          <w:szCs w:val="21"/>
        </w:rPr>
        <w:t xml:space="preserve">Any access no longer required for an individual's current role must be removed promptly following the review or role change.</w:t>
      </w:r>
    </w:p>
    <w:p>
      <w:pPr>
        <w:pStyle w:val="ListParagraph"/>
        <w:numPr>
          <w:ilvl w:val="0"/>
          <w:numId w:val="1"/>
        </w:numPr>
        <w:spacing w:after="90" w:line="276"/>
      </w:pPr>
      <w:r>
        <w:rPr>
          <w:sz w:val="21"/>
          <w:szCs w:val="21"/>
        </w:rPr>
        <w:t xml:space="preserve">Access modification requests must be logged, approved, and traceable to an authorized approver.</w:t>
      </w:r>
    </w:p>
    <w:p>
      <w:pPr>
        <w:pStyle w:val="Heading2"/>
        <w:spacing w:after="150" w:before="300"/>
      </w:pPr>
      <w:r>
        <w:rPr>
          <w:b/>
          <w:bCs/>
          <w:color w:val="2E5395"/>
          <w:sz w:val="25"/>
          <w:szCs w:val="25"/>
        </w:rPr>
        <w:t xml:space="preserve">5.3 Deprovisioning</w:t>
      </w:r>
    </w:p>
    <w:p>
      <w:pPr>
        <w:pStyle w:val="ListParagraph"/>
        <w:numPr>
          <w:ilvl w:val="0"/>
          <w:numId w:val="1"/>
        </w:numPr>
        <w:spacing w:after="90" w:line="276"/>
      </w:pPr>
      <w:r>
        <w:rPr>
          <w:sz w:val="21"/>
          <w:szCs w:val="21"/>
        </w:rPr>
        <w:t xml:space="preserve">Access for departing employees, contractors, brokers, or delivery contractors must be revoked within 24 hours of contract termination or offboarding notification.</w:t>
      </w:r>
    </w:p>
    <w:p>
      <w:pPr>
        <w:pStyle w:val="ListParagraph"/>
        <w:numPr>
          <w:ilvl w:val="0"/>
          <w:numId w:val="1"/>
        </w:numPr>
        <w:spacing w:after="90" w:line="276"/>
      </w:pPr>
      <w:r>
        <w:rPr>
          <w:sz w:val="21"/>
          <w:szCs w:val="21"/>
        </w:rPr>
        <w:t xml:space="preserve">Immediate access revocation is required, without the standard 24-hour allowance, in any termination involving cause, misconduct, or elevated risk, and must be actioned as soon as IT Operations is notified.</w:t>
      </w:r>
    </w:p>
    <w:p>
      <w:pPr>
        <w:pStyle w:val="ListParagraph"/>
        <w:numPr>
          <w:ilvl w:val="0"/>
          <w:numId w:val="1"/>
        </w:numPr>
        <w:spacing w:after="90" w:line="276"/>
      </w:pPr>
      <w:r>
        <w:rPr>
          <w:sz w:val="21"/>
          <w:szCs w:val="21"/>
        </w:rPr>
        <w:t xml:space="preserve">Deprovisioning must cover all systems, physical access credentials (e.g., badges), and any mobile devices enrolled for the individual.</w:t>
      </w:r>
    </w:p>
    <w:p>
      <w:pPr>
        <w:pStyle w:val="Heading1"/>
        <w:pBdr>
          <w:bottom w:val="single" w:color="1F3864" w:sz="6" w:space="4"/>
        </w:pBdr>
        <w:spacing w:after="200" w:before="400"/>
      </w:pPr>
      <w:r>
        <w:rPr>
          <w:b/>
          <w:bCs/>
          <w:color w:val="1F3864"/>
          <w:sz w:val="30"/>
          <w:szCs w:val="30"/>
        </w:rPr>
        <w:t xml:space="preserve">6. Password Requirements and Management</w:t>
      </w:r>
    </w:p>
    <w:p>
      <w:pPr>
        <w:pStyle w:val="Heading2"/>
        <w:spacing w:after="150" w:before="300"/>
      </w:pPr>
      <w:r>
        <w:rPr>
          <w:b/>
          <w:bCs/>
          <w:color w:val="2E5395"/>
          <w:sz w:val="25"/>
          <w:szCs w:val="25"/>
        </w:rPr>
        <w:t xml:space="preserve">6.1 Password Standards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F3864" w:val="clear"/>
            <w:tcMar>
              <w:top w:type="dxa" w:w="80"/>
              <w:left w:type="dxa" w:w="100"/>
              <w:bottom w:type="dxa" w:w="80"/>
              <w:right w:type="dxa" w:w="100"/>
            </w:tcMar>
            <w:vAlign w:val="center"/>
          </w:tcPr>
          <w:p>
            <w:pPr>
              <w:spacing w:after="40"/>
            </w:pPr>
            <w:r>
              <w:rPr>
                <w:b/>
                <w:bCs/>
                <w:color w:val="FFFFFF"/>
                <w:sz w:val="20"/>
                <w:szCs w:val="20"/>
              </w:rPr>
              <w:t xml:space="preserve">Requirement</w:t>
            </w:r>
          </w:p>
        </w:tc>
        <w:tc>
          <w:tcPr>
            <w:tcW w:type="dxa" w:w="5000"/>
            <w:shd w:fill="1F3864" w:val="clear"/>
            <w:tcMar>
              <w:top w:type="dxa" w:w="80"/>
              <w:left w:type="dxa" w:w="100"/>
              <w:bottom w:type="dxa" w:w="80"/>
              <w:right w:type="dxa" w:w="100"/>
            </w:tcMar>
            <w:vAlign w:val="center"/>
          </w:tcPr>
          <w:p>
            <w:pPr>
              <w:spacing w:after="40"/>
            </w:pPr>
            <w:r>
              <w:rPr>
                <w:b/>
                <w:bCs/>
                <w:color w:val="FFFFFF"/>
                <w:sz w:val="20"/>
                <w:szCs w:val="20"/>
              </w:rPr>
              <w:t xml:space="preserve">Minimum Standard</w:t>
            </w:r>
          </w:p>
        </w:tc>
      </w:tr>
      <w:tr>
        <w:tc>
          <w:tcPr>
            <w:tcW w:type="dxa" w:w="4200"/>
            <w:tcMar>
              <w:top w:type="dxa" w:w="80"/>
              <w:left w:type="dxa" w:w="100"/>
              <w:bottom w:type="dxa" w:w="80"/>
              <w:right w:type="dxa" w:w="100"/>
            </w:tcMar>
          </w:tcPr>
          <w:p>
            <w:pPr>
              <w:spacing w:after="40"/>
            </w:pPr>
            <w:r>
              <w:rPr>
                <w:sz w:val="20"/>
                <w:szCs w:val="20"/>
              </w:rPr>
              <w:t xml:space="preserve">Minimum length</w:t>
            </w:r>
          </w:p>
        </w:tc>
        <w:tc>
          <w:tcPr>
            <w:tcW w:type="dxa" w:w="5000"/>
            <w:tcMar>
              <w:top w:type="dxa" w:w="80"/>
              <w:left w:type="dxa" w:w="100"/>
              <w:bottom w:type="dxa" w:w="80"/>
              <w:right w:type="dxa" w:w="100"/>
            </w:tcMar>
          </w:tcPr>
          <w:p>
            <w:pPr>
              <w:spacing w:after="40"/>
            </w:pPr>
            <w:r>
              <w:rPr>
                <w:sz w:val="20"/>
                <w:szCs w:val="20"/>
              </w:rPr>
              <w:t xml:space="preserve">12 characters for standard user accounts; 16 characters for administrative and privileged accounts</w:t>
            </w:r>
          </w:p>
        </w:tc>
      </w:tr>
      <w:tr>
        <w:tc>
          <w:tcPr>
            <w:tcW w:type="dxa" w:w="4200"/>
            <w:tcMar>
              <w:top w:type="dxa" w:w="80"/>
              <w:left w:type="dxa" w:w="100"/>
              <w:bottom w:type="dxa" w:w="80"/>
              <w:right w:type="dxa" w:w="100"/>
            </w:tcMar>
          </w:tcPr>
          <w:p>
            <w:pPr>
              <w:spacing w:after="40"/>
            </w:pPr>
            <w:r>
              <w:rPr>
                <w:sz w:val="20"/>
                <w:szCs w:val="20"/>
              </w:rPr>
              <w:t xml:space="preserve">Complexity</w:t>
            </w:r>
          </w:p>
        </w:tc>
        <w:tc>
          <w:tcPr>
            <w:tcW w:type="dxa" w:w="5000"/>
            <w:tcMar>
              <w:top w:type="dxa" w:w="80"/>
              <w:left w:type="dxa" w:w="100"/>
              <w:bottom w:type="dxa" w:w="80"/>
              <w:right w:type="dxa" w:w="100"/>
            </w:tcMar>
          </w:tcPr>
          <w:p>
            <w:pPr>
              <w:spacing w:after="40"/>
            </w:pPr>
            <w:r>
              <w:rPr>
                <w:sz w:val="20"/>
                <w:szCs w:val="20"/>
              </w:rPr>
              <w:t xml:space="preserve">A mix of upper and lower case letters, numbers, and symbols; passwords must not be a dictionary word or an easily guessed pattern</w:t>
            </w:r>
          </w:p>
        </w:tc>
      </w:tr>
      <w:tr>
        <w:tc>
          <w:tcPr>
            <w:tcW w:type="dxa" w:w="4200"/>
            <w:tcMar>
              <w:top w:type="dxa" w:w="80"/>
              <w:left w:type="dxa" w:w="100"/>
              <w:bottom w:type="dxa" w:w="80"/>
              <w:right w:type="dxa" w:w="100"/>
            </w:tcMar>
          </w:tcPr>
          <w:p>
            <w:pPr>
              <w:spacing w:after="40"/>
            </w:pPr>
            <w:r>
              <w:rPr>
                <w:sz w:val="20"/>
                <w:szCs w:val="20"/>
              </w:rPr>
              <w:t xml:space="preserve">Reuse</w:t>
            </w:r>
          </w:p>
        </w:tc>
        <w:tc>
          <w:tcPr>
            <w:tcW w:type="dxa" w:w="5000"/>
            <w:tcMar>
              <w:top w:type="dxa" w:w="80"/>
              <w:left w:type="dxa" w:w="100"/>
              <w:bottom w:type="dxa" w:w="80"/>
              <w:right w:type="dxa" w:w="100"/>
            </w:tcMar>
          </w:tcPr>
          <w:p>
            <w:pPr>
              <w:spacing w:after="40"/>
            </w:pPr>
            <w:r>
              <w:rPr>
                <w:sz w:val="20"/>
                <w:szCs w:val="20"/>
              </w:rPr>
              <w:t xml:space="preserve">New passwords must not match any of the individual's last 10 passwords</w:t>
            </w:r>
          </w:p>
        </w:tc>
      </w:tr>
      <w:tr>
        <w:tc>
          <w:tcPr>
            <w:tcW w:type="dxa" w:w="4200"/>
            <w:tcMar>
              <w:top w:type="dxa" w:w="80"/>
              <w:left w:type="dxa" w:w="100"/>
              <w:bottom w:type="dxa" w:w="80"/>
              <w:right w:type="dxa" w:w="100"/>
            </w:tcMar>
          </w:tcPr>
          <w:p>
            <w:pPr>
              <w:spacing w:after="40"/>
            </w:pPr>
            <w:r>
              <w:rPr>
                <w:sz w:val="20"/>
                <w:szCs w:val="20"/>
              </w:rPr>
              <w:t xml:space="preserve">Expiry</w:t>
            </w:r>
          </w:p>
        </w:tc>
        <w:tc>
          <w:tcPr>
            <w:tcW w:type="dxa" w:w="5000"/>
            <w:tcMar>
              <w:top w:type="dxa" w:w="80"/>
              <w:left w:type="dxa" w:w="100"/>
              <w:bottom w:type="dxa" w:w="80"/>
              <w:right w:type="dxa" w:w="100"/>
            </w:tcMar>
          </w:tcPr>
          <w:p>
            <w:pPr>
              <w:spacing w:after="40"/>
            </w:pPr>
            <w:r>
              <w:rPr>
                <w:sz w:val="20"/>
                <w:szCs w:val="20"/>
              </w:rPr>
              <w:t xml:space="preserve">Passwords for privileged and administrative accounts are changed at least every 90 days; standard accounts follow a risk-based rotation, or immediately on suspected compromise</w:t>
            </w:r>
          </w:p>
        </w:tc>
      </w:tr>
      <w:tr>
        <w:tc>
          <w:tcPr>
            <w:tcW w:type="dxa" w:w="4200"/>
            <w:tcMar>
              <w:top w:type="dxa" w:w="80"/>
              <w:left w:type="dxa" w:w="100"/>
              <w:bottom w:type="dxa" w:w="80"/>
              <w:right w:type="dxa" w:w="100"/>
            </w:tcMar>
          </w:tcPr>
          <w:p>
            <w:pPr>
              <w:spacing w:after="40"/>
            </w:pPr>
            <w:r>
              <w:rPr>
                <w:sz w:val="20"/>
                <w:szCs w:val="20"/>
              </w:rPr>
              <w:t xml:space="preserve">Storage</w:t>
            </w:r>
          </w:p>
        </w:tc>
        <w:tc>
          <w:tcPr>
            <w:tcW w:type="dxa" w:w="5000"/>
            <w:tcMar>
              <w:top w:type="dxa" w:w="80"/>
              <w:left w:type="dxa" w:w="100"/>
              <w:bottom w:type="dxa" w:w="80"/>
              <w:right w:type="dxa" w:w="100"/>
            </w:tcMar>
          </w:tcPr>
          <w:p>
            <w:pPr>
              <w:spacing w:after="40"/>
            </w:pPr>
            <w:r>
              <w:rPr>
                <w:sz w:val="20"/>
                <w:szCs w:val="20"/>
              </w:rPr>
              <w:t xml:space="preserve">Passwords must never be stored or transmitted in plain text; approved password managers are permitted and encouraged</w:t>
            </w:r>
          </w:p>
        </w:tc>
      </w:tr>
      <w:tr>
        <w:tc>
          <w:tcPr>
            <w:tcW w:type="dxa" w:w="4200"/>
            <w:tcMar>
              <w:top w:type="dxa" w:w="80"/>
              <w:left w:type="dxa" w:w="100"/>
              <w:bottom w:type="dxa" w:w="80"/>
              <w:right w:type="dxa" w:w="100"/>
            </w:tcMar>
          </w:tcPr>
          <w:p>
            <w:pPr>
              <w:spacing w:after="40"/>
            </w:pPr>
            <w:r>
              <w:rPr>
                <w:sz w:val="20"/>
                <w:szCs w:val="20"/>
              </w:rPr>
              <w:t xml:space="preserve">Sharing</w:t>
            </w:r>
          </w:p>
        </w:tc>
        <w:tc>
          <w:tcPr>
            <w:tcW w:type="dxa" w:w="5000"/>
            <w:tcMar>
              <w:top w:type="dxa" w:w="80"/>
              <w:left w:type="dxa" w:w="100"/>
              <w:bottom w:type="dxa" w:w="80"/>
              <w:right w:type="dxa" w:w="100"/>
            </w:tcMar>
          </w:tcPr>
          <w:p>
            <w:pPr>
              <w:spacing w:after="40"/>
            </w:pPr>
            <w:r>
              <w:rPr>
                <w:sz w:val="20"/>
                <w:szCs w:val="20"/>
              </w:rPr>
              <w:t xml:space="preserve">Passwords must never be shared, written down in an accessible location, or reused across personal and Falcon Freight accounts</w:t>
            </w:r>
          </w:p>
        </w:tc>
      </w:tr>
      <w:tr>
        <w:tc>
          <w:tcPr>
            <w:tcW w:type="dxa" w:w="4200"/>
            <w:tcMar>
              <w:top w:type="dxa" w:w="80"/>
              <w:left w:type="dxa" w:w="100"/>
              <w:bottom w:type="dxa" w:w="80"/>
              <w:right w:type="dxa" w:w="100"/>
            </w:tcMar>
          </w:tcPr>
          <w:p>
            <w:pPr>
              <w:spacing w:after="40"/>
            </w:pPr>
            <w:r>
              <w:rPr>
                <w:sz w:val="20"/>
                <w:szCs w:val="20"/>
              </w:rPr>
              <w:t xml:space="preserve">Default credentials</w:t>
            </w:r>
          </w:p>
        </w:tc>
        <w:tc>
          <w:tcPr>
            <w:tcW w:type="dxa" w:w="5000"/>
            <w:tcMar>
              <w:top w:type="dxa" w:w="80"/>
              <w:left w:type="dxa" w:w="100"/>
              <w:bottom w:type="dxa" w:w="80"/>
              <w:right w:type="dxa" w:w="100"/>
            </w:tcMar>
          </w:tcPr>
          <w:p>
            <w:pPr>
              <w:spacing w:after="40"/>
            </w:pPr>
            <w:r>
              <w:rPr>
                <w:sz w:val="20"/>
                <w:szCs w:val="20"/>
              </w:rPr>
              <w:t xml:space="preserve">Default or vendor-supplied passwords must be changed before a system or device is put into use</w:t>
            </w:r>
          </w:p>
        </w:tc>
      </w:tr>
    </w:tbl>
    <w:p>
      <w:pPr>
        <w:pStyle w:val="Heading2"/>
        <w:spacing w:after="150" w:before="300"/>
      </w:pPr>
      <w:r>
        <w:rPr>
          <w:b/>
          <w:bCs/>
          <w:color w:val="2E5395"/>
          <w:sz w:val="25"/>
          <w:szCs w:val="25"/>
        </w:rPr>
        <w:t xml:space="preserve">6.2 Password Resets and Recovery</w:t>
      </w:r>
    </w:p>
    <w:p>
      <w:pPr>
        <w:pStyle w:val="ListParagraph"/>
        <w:numPr>
          <w:ilvl w:val="0"/>
          <w:numId w:val="1"/>
        </w:numPr>
        <w:spacing w:after="90" w:line="276"/>
      </w:pPr>
      <w:r>
        <w:rPr>
          <w:sz w:val="21"/>
          <w:szCs w:val="21"/>
        </w:rPr>
        <w:t xml:space="preserve">Password reset requests must verify the identity of the requester through an approved method before a reset is actioned.</w:t>
      </w:r>
    </w:p>
    <w:p>
      <w:pPr>
        <w:pStyle w:val="ListParagraph"/>
        <w:numPr>
          <w:ilvl w:val="0"/>
          <w:numId w:val="1"/>
        </w:numPr>
        <w:spacing w:after="90" w:line="276"/>
      </w:pPr>
      <w:r>
        <w:rPr>
          <w:sz w:val="21"/>
          <w:szCs w:val="21"/>
        </w:rPr>
        <w:t xml:space="preserve">Temporary passwords issued during a reset must be single-use and require the individual to set a new password at first login.</w:t>
      </w:r>
    </w:p>
    <w:p>
      <w:pPr>
        <w:pStyle w:val="ListParagraph"/>
        <w:numPr>
          <w:ilvl w:val="0"/>
          <w:numId w:val="1"/>
        </w:numPr>
        <w:spacing w:after="90" w:line="276"/>
      </w:pPr>
      <w:r>
        <w:rPr>
          <w:sz w:val="21"/>
          <w:szCs w:val="21"/>
        </w:rPr>
        <w:t xml:space="preserve">Self-service password reset, where available, must itself be protected by multi-factor authentication.</w:t>
      </w:r>
    </w:p>
    <w:p>
      <w:pPr>
        <w:pStyle w:val="Heading1"/>
        <w:pBdr>
          <w:bottom w:val="single" w:color="1F3864" w:sz="6" w:space="4"/>
        </w:pBdr>
        <w:spacing w:after="200" w:before="400"/>
      </w:pPr>
      <w:r>
        <w:rPr>
          <w:b/>
          <w:bCs/>
          <w:color w:val="1F3864"/>
          <w:sz w:val="30"/>
          <w:szCs w:val="30"/>
        </w:rPr>
        <w:t xml:space="preserve">7. Multi-Factor Authentication</w:t>
      </w:r>
    </w:p>
    <w:p>
      <w:pPr>
        <w:pStyle w:val="ListParagraph"/>
        <w:numPr>
          <w:ilvl w:val="0"/>
          <w:numId w:val="1"/>
        </w:numPr>
        <w:spacing w:after="90" w:line="276"/>
      </w:pPr>
      <w:r>
        <w:rPr>
          <w:sz w:val="21"/>
          <w:szCs w:val="21"/>
        </w:rPr>
        <w:t xml:space="preserve">Multi-factor authentication (MFA) is mandatory for all remote access to Falcon Freight systems.</w:t>
      </w:r>
    </w:p>
    <w:p>
      <w:pPr>
        <w:pStyle w:val="ListParagraph"/>
        <w:numPr>
          <w:ilvl w:val="0"/>
          <w:numId w:val="1"/>
        </w:numPr>
        <w:spacing w:after="90" w:line="276"/>
      </w:pPr>
      <w:r>
        <w:rPr>
          <w:sz w:val="21"/>
          <w:szCs w:val="21"/>
        </w:rPr>
        <w:t xml:space="preserve">MFA is mandatory for all administrative and privileged accounts, regardless of access location.</w:t>
      </w:r>
    </w:p>
    <w:p>
      <w:pPr>
        <w:pStyle w:val="ListParagraph"/>
        <w:numPr>
          <w:ilvl w:val="0"/>
          <w:numId w:val="1"/>
        </w:numPr>
        <w:spacing w:after="90" w:line="276"/>
      </w:pPr>
      <w:r>
        <w:rPr>
          <w:sz w:val="21"/>
          <w:szCs w:val="21"/>
        </w:rPr>
        <w:t xml:space="preserve">MFA is mandatory for any access to Restricted or Confidential data, including access to the cloud-based shipment tracking platform and the on-premise warehouse management system where technically feasible.</w:t>
      </w:r>
    </w:p>
    <w:p>
      <w:pPr>
        <w:pStyle w:val="ListParagraph"/>
        <w:numPr>
          <w:ilvl w:val="0"/>
          <w:numId w:val="1"/>
        </w:numPr>
        <w:spacing w:after="90" w:line="276"/>
      </w:pPr>
      <w:r>
        <w:rPr>
          <w:sz w:val="21"/>
          <w:szCs w:val="21"/>
        </w:rPr>
        <w:t xml:space="preserve">Approved MFA methods include authenticator applications and hardware security keys; SMS-based MFA may be used only where no stronger method is technically feasible, and is subject to periodic review by the CISO.</w:t>
      </w:r>
    </w:p>
    <w:p>
      <w:pPr>
        <w:pStyle w:val="ListParagraph"/>
        <w:numPr>
          <w:ilvl w:val="0"/>
          <w:numId w:val="1"/>
        </w:numPr>
        <w:spacing w:after="90" w:line="276"/>
      </w:pPr>
      <w:r>
        <w:rPr>
          <w:sz w:val="21"/>
          <w:szCs w:val="21"/>
        </w:rPr>
        <w:t xml:space="preserve">Exceptions to mandatory MFA must be formally approved by the CISO, time-bound, and accompanied by a compensating control.</w:t>
      </w:r>
    </w:p>
    <w:p>
      <w:pPr>
        <w:pStyle w:val="Heading1"/>
        <w:pBdr>
          <w:bottom w:val="single" w:color="1F3864" w:sz="6" w:space="4"/>
        </w:pBdr>
        <w:spacing w:after="200" w:before="400"/>
      </w:pPr>
      <w:r>
        <w:rPr>
          <w:b/>
          <w:bCs/>
          <w:color w:val="1F3864"/>
          <w:sz w:val="30"/>
          <w:szCs w:val="30"/>
        </w:rPr>
        <w:t xml:space="preserve">8. Privileged Access Management</w:t>
      </w:r>
    </w:p>
    <w:p>
      <w:pPr>
        <w:pStyle w:val="ListParagraph"/>
        <w:numPr>
          <w:ilvl w:val="0"/>
          <w:numId w:val="1"/>
        </w:numPr>
        <w:spacing w:after="90" w:line="276"/>
      </w:pPr>
      <w:r>
        <w:rPr>
          <w:sz w:val="21"/>
          <w:szCs w:val="21"/>
        </w:rPr>
        <w:t xml:space="preserve">Administrative and privileged accounts are limited to individuals whose role requires them, and are subject to more stringent password, MFA, and review requirements than standard user accounts.</w:t>
      </w:r>
    </w:p>
    <w:p>
      <w:pPr>
        <w:pStyle w:val="ListParagraph"/>
        <w:numPr>
          <w:ilvl w:val="0"/>
          <w:numId w:val="1"/>
        </w:numPr>
        <w:spacing w:after="90" w:line="276"/>
      </w:pPr>
      <w:r>
        <w:rPr>
          <w:sz w:val="21"/>
          <w:szCs w:val="21"/>
        </w:rPr>
        <w:t xml:space="preserve">Privileged accounts must not be used for routine tasks such as email or web browsing; a separate standard account must be used for non-administrative activity.</w:t>
      </w:r>
    </w:p>
    <w:p>
      <w:pPr>
        <w:pStyle w:val="ListParagraph"/>
        <w:numPr>
          <w:ilvl w:val="0"/>
          <w:numId w:val="1"/>
        </w:numPr>
        <w:spacing w:after="90" w:line="276"/>
      </w:pPr>
      <w:r>
        <w:rPr>
          <w:sz w:val="21"/>
          <w:szCs w:val="21"/>
        </w:rPr>
        <w:t xml:space="preserve">All privileged account activity is logged, and logs are reviewed periodically by IT Operations for anomalous activity.</w:t>
      </w:r>
    </w:p>
    <w:p>
      <w:pPr>
        <w:pStyle w:val="ListParagraph"/>
        <w:numPr>
          <w:ilvl w:val="0"/>
          <w:numId w:val="1"/>
        </w:numPr>
        <w:spacing w:after="90" w:line="276"/>
      </w:pPr>
      <w:r>
        <w:rPr>
          <w:sz w:val="21"/>
          <w:szCs w:val="21"/>
        </w:rPr>
        <w:t xml:space="preserve">Privileged access is reviewed at least quarterly by the relevant System/Application Owner, in addition to the standard six-monthly access review.</w:t>
      </w:r>
    </w:p>
    <w:p>
      <w:pPr>
        <w:pStyle w:val="ListParagraph"/>
        <w:numPr>
          <w:ilvl w:val="0"/>
          <w:numId w:val="1"/>
        </w:numPr>
        <w:spacing w:after="90" w:line="276"/>
      </w:pPr>
      <w:r>
        <w:rPr>
          <w:sz w:val="21"/>
          <w:szCs w:val="21"/>
        </w:rPr>
        <w:t xml:space="preserve">Emergency or "break-glass" access to privileged accounts must be approved, time-bound, logged, and reviewed after use.</w:t>
      </w:r>
    </w:p>
    <w:p>
      <w:pPr>
        <w:pStyle w:val="Heading1"/>
        <w:pBdr>
          <w:bottom w:val="single" w:color="1F3864" w:sz="6" w:space="4"/>
        </w:pBdr>
        <w:spacing w:after="200" w:before="400"/>
      </w:pPr>
      <w:r>
        <w:rPr>
          <w:b/>
          <w:bCs/>
          <w:color w:val="1F3864"/>
          <w:sz w:val="30"/>
          <w:szCs w:val="30"/>
        </w:rPr>
        <w:t xml:space="preserve">9. Third-Party and Remote Access</w:t>
      </w:r>
    </w:p>
    <w:p>
      <w:pPr>
        <w:pStyle w:val="ListParagraph"/>
        <w:numPr>
          <w:ilvl w:val="0"/>
          <w:numId w:val="1"/>
        </w:numPr>
        <w:spacing w:after="90" w:line="276"/>
      </w:pPr>
      <w:r>
        <w:rPr>
          <w:sz w:val="21"/>
          <w:szCs w:val="21"/>
        </w:rPr>
        <w:t xml:space="preserve">Third-party customs brokers, subcontracted delivery contractors, and vendors are provisioned with dedicated accounts (never shared with Falcon Freight employees) scoped to the minimum access necessary for their function.</w:t>
      </w:r>
    </w:p>
    <w:p>
      <w:pPr>
        <w:pStyle w:val="ListParagraph"/>
        <w:numPr>
          <w:ilvl w:val="0"/>
          <w:numId w:val="1"/>
        </w:numPr>
        <w:spacing w:after="90" w:line="276"/>
      </w:pPr>
      <w:r>
        <w:rPr>
          <w:sz w:val="21"/>
          <w:szCs w:val="21"/>
        </w:rPr>
        <w:t xml:space="preserve">Remote access by employees, contractors, or third parties to Falcon Freight systems must be via an approved, encrypted channel (e.g., VPN or equivalent secured connection) and is subject to mandatory MFA.</w:t>
      </w:r>
    </w:p>
    <w:p>
      <w:pPr>
        <w:pStyle w:val="ListParagraph"/>
        <w:numPr>
          <w:ilvl w:val="0"/>
          <w:numId w:val="1"/>
        </w:numPr>
        <w:spacing w:after="90" w:line="276"/>
      </w:pPr>
      <w:r>
        <w:rPr>
          <w:sz w:val="21"/>
          <w:szCs w:val="21"/>
        </w:rPr>
        <w:t xml:space="preserve">Personally-owned devices (BYOD) accessing Falcon Freight systems must meet the minimum security baselines defined in the Acceptable Use Standard before being granted access.</w:t>
      </w:r>
    </w:p>
    <w:p>
      <w:pPr>
        <w:pStyle w:val="ListParagraph"/>
        <w:numPr>
          <w:ilvl w:val="0"/>
          <w:numId w:val="1"/>
        </w:numPr>
        <w:spacing w:after="90" w:line="276"/>
      </w:pPr>
      <w:r>
        <w:rPr>
          <w:sz w:val="21"/>
          <w:szCs w:val="21"/>
        </w:rPr>
        <w:t xml:space="preserve">Third-party remote access accounts are subject to the same six-monthly review cycle as internal accounts, and are additionally reviewed whenever the underlying vendor or broker contract is reassessed under the Third-Party Vendor Management Policy.</w:t>
      </w:r>
    </w:p>
    <w:p>
      <w:pPr>
        <w:pStyle w:val="Heading1"/>
        <w:pBdr>
          <w:bottom w:val="single" w:color="1F3864" w:sz="6" w:space="4"/>
        </w:pBdr>
        <w:spacing w:after="200" w:before="400"/>
      </w:pPr>
      <w:r>
        <w:rPr>
          <w:b/>
          <w:bCs/>
          <w:color w:val="1F3864"/>
          <w:sz w:val="30"/>
          <w:szCs w:val="30"/>
        </w:rPr>
        <w:t xml:space="preserve">10. Mobile Device and Field Access</w:t>
      </w:r>
    </w:p>
    <w:p>
      <w:pPr>
        <w:pStyle w:val="ListParagraph"/>
        <w:numPr>
          <w:ilvl w:val="0"/>
          <w:numId w:val="1"/>
        </w:numPr>
        <w:spacing w:after="90" w:line="276"/>
      </w:pPr>
      <w:r>
        <w:rPr>
          <w:sz w:val="21"/>
          <w:szCs w:val="21"/>
        </w:rPr>
        <w:t xml:space="preserve">Mobile devices used by delivery contractors and field agents for tracking, proof-of-delivery, or customs documentation must be enrolled in a mobile device management (MDM) solution.</w:t>
      </w:r>
    </w:p>
    <w:p>
      <w:pPr>
        <w:pStyle w:val="ListParagraph"/>
        <w:numPr>
          <w:ilvl w:val="0"/>
          <w:numId w:val="1"/>
        </w:numPr>
        <w:spacing w:after="90" w:line="276"/>
      </w:pPr>
      <w:r>
        <w:rPr>
          <w:sz w:val="21"/>
          <w:szCs w:val="21"/>
        </w:rPr>
        <w:t xml:space="preserve">Enrolled devices must enforce device encryption, a passcode or biometric lock, and support remote wipe in the event of loss, theft, or offboarding.</w:t>
      </w:r>
    </w:p>
    <w:p>
      <w:pPr>
        <w:pStyle w:val="ListParagraph"/>
        <w:numPr>
          <w:ilvl w:val="0"/>
          <w:numId w:val="1"/>
        </w:numPr>
        <w:spacing w:after="90" w:line="276"/>
      </w:pPr>
      <w:r>
        <w:rPr>
          <w:sz w:val="21"/>
          <w:szCs w:val="21"/>
        </w:rPr>
        <w:t xml:space="preserve">Access to Falcon Freight applications from a mobile device requires the same authentication controls (including MFA, where technically supported) as access from a desktop or corporate device.</w:t>
      </w:r>
    </w:p>
    <w:p>
      <w:pPr>
        <w:pStyle w:val="ListParagraph"/>
        <w:numPr>
          <w:ilvl w:val="0"/>
          <w:numId w:val="1"/>
        </w:numPr>
        <w:spacing w:after="90" w:line="276"/>
      </w:pPr>
      <w:r>
        <w:rPr>
          <w:sz w:val="21"/>
          <w:szCs w:val="21"/>
        </w:rPr>
        <w:t xml:space="preserve">Lost or stolen devices with access to Falcon Freight systems must be reported immediately to the Regional IT/Security Lead so that credentials can be revoked and the device remotely wiped.</w:t>
      </w:r>
    </w:p>
    <w:p>
      <w:pPr>
        <w:pStyle w:val="Heading1"/>
        <w:pBdr>
          <w:bottom w:val="single" w:color="1F3864" w:sz="6" w:space="4"/>
        </w:pBdr>
        <w:spacing w:after="200" w:before="400"/>
      </w:pPr>
      <w:r>
        <w:rPr>
          <w:b/>
          <w:bCs/>
          <w:color w:val="1F3864"/>
          <w:sz w:val="30"/>
          <w:szCs w:val="30"/>
        </w:rPr>
        <w:t xml:space="preserve">11. Monitoring, Logging and Incident Response</w:t>
      </w:r>
    </w:p>
    <w:p>
      <w:pPr>
        <w:pStyle w:val="ListParagraph"/>
        <w:numPr>
          <w:ilvl w:val="0"/>
          <w:numId w:val="1"/>
        </w:numPr>
        <w:spacing w:after="90" w:line="276"/>
      </w:pPr>
      <w:r>
        <w:rPr>
          <w:sz w:val="21"/>
          <w:szCs w:val="21"/>
        </w:rPr>
        <w:t xml:space="preserve">Authentication events (successful and failed logins, password resets, privileged account activity) are logged across the warehouse management system, corporate network, and, to the extent configurable, the cloud shipment tracking platform.</w:t>
      </w:r>
    </w:p>
    <w:p>
      <w:pPr>
        <w:pStyle w:val="ListParagraph"/>
        <w:numPr>
          <w:ilvl w:val="0"/>
          <w:numId w:val="1"/>
        </w:numPr>
        <w:spacing w:after="90" w:line="276"/>
      </w:pPr>
      <w:r>
        <w:rPr>
          <w:sz w:val="21"/>
          <w:szCs w:val="21"/>
        </w:rPr>
        <w:t xml:space="preserve">Repeated failed login attempts trigger account lockout and are flagged for review by IT Operations.</w:t>
      </w:r>
    </w:p>
    <w:p>
      <w:pPr>
        <w:pStyle w:val="ListParagraph"/>
        <w:numPr>
          <w:ilvl w:val="0"/>
          <w:numId w:val="1"/>
        </w:numPr>
        <w:spacing w:after="90" w:line="276"/>
      </w:pPr>
      <w:r>
        <w:rPr>
          <w:sz w:val="21"/>
          <w:szCs w:val="21"/>
        </w:rPr>
        <w:t xml:space="preserve">Anomalous authentication activity (e.g., logins from unexpected locations, impossible travel, unusual access times) is investigated as a potential security incident under Falcon Freight's Incident Response Plan.</w:t>
      </w:r>
    </w:p>
    <w:p>
      <w:pPr>
        <w:pStyle w:val="ListParagraph"/>
        <w:numPr>
          <w:ilvl w:val="0"/>
          <w:numId w:val="1"/>
        </w:numPr>
        <w:spacing w:after="90" w:line="276"/>
      </w:pPr>
      <w:r>
        <w:rPr>
          <w:sz w:val="21"/>
          <w:szCs w:val="21"/>
        </w:rPr>
        <w:t xml:space="preserve">Suspected credential compromise must be reported immediately; affected accounts are suspended and passwords reset as a priority containment step, consistent with the incident timeframes defined in the Information Security Policy.</w:t>
      </w:r>
    </w:p>
    <w:p>
      <w:pPr>
        <w:pStyle w:val="Heading1"/>
        <w:pBdr>
          <w:bottom w:val="single" w:color="1F3864" w:sz="6" w:space="4"/>
        </w:pBdr>
        <w:spacing w:after="200" w:before="400"/>
      </w:pPr>
      <w:r>
        <w:rPr>
          <w:b/>
          <w:bCs/>
          <w:color w:val="1F3864"/>
          <w:sz w:val="30"/>
          <w:szCs w:val="30"/>
        </w:rPr>
        <w:t xml:space="preserve">12. Policy Enforcement, Exceptions and Sanctions</w:t>
      </w:r>
    </w:p>
    <w:p>
      <w:pPr>
        <w:spacing w:after="150" w:line="276"/>
      </w:pPr>
      <w:r>
        <w:rPr>
          <w:sz w:val="21"/>
          <w:szCs w:val="21"/>
        </w:rPr>
        <w:t xml:space="preserve">Compliance with this Policy is mandatory for all persons and organizations within its scope. Any exception must be requested in writing, include a compensating control and business justification, and be approved by the CISO (or the Board Risk &amp; Audit Committee for exceptions affecting Restricted data or privileged access).</w:t>
      </w:r>
    </w:p>
    <w:p>
      <w:pPr>
        <w:spacing w:after="150" w:line="276"/>
      </w:pPr>
      <w:r>
        <w:rPr>
          <w:sz w:val="21"/>
          <w:szCs w:val="21"/>
        </w:rPr>
        <w:t xml:space="preserve">Violations by employees may result in disciplinary action up to and including termination of employment, consistent with Falcon Freight's HR policies and local labor law. Violations by vendors, customs brokers, or subcontracted delivery contractors may result in suspension of system access, financial penalties as specified in contract, or termination of the engagement.</w:t>
      </w:r>
    </w:p>
    <w:p>
      <w:pPr>
        <w:pStyle w:val="Heading1"/>
        <w:pBdr>
          <w:bottom w:val="single" w:color="1F3864" w:sz="6" w:space="4"/>
        </w:pBdr>
        <w:spacing w:after="200" w:before="400"/>
      </w:pPr>
      <w:r>
        <w:rPr>
          <w:b/>
          <w:bCs/>
          <w:color w:val="1F3864"/>
          <w:sz w:val="30"/>
          <w:szCs w:val="30"/>
        </w:rPr>
        <w:t xml:space="preserve">13. Policy Review and Amendment</w:t>
      </w:r>
    </w:p>
    <w:p>
      <w:pPr>
        <w:spacing w:after="150" w:line="276"/>
      </w:pPr>
      <w:r>
        <w:rPr>
          <w:sz w:val="21"/>
          <w:szCs w:val="21"/>
        </w:rPr>
        <w:t xml:space="preserve">This Policy is owned by the CISO and reviewed at least annually, or sooner in response to significant changes such as a material change in Falcon Freight's IT infrastructure, a significant access-related security incident, or changes in applicable law (including amendments to POPIA, GDPR, or applicable East African data protection laws). All revisions require approval by the Board Risk &amp; Audit Committee prior to publication.</w:t>
      </w:r>
    </w:p>
    <w:p>
      <w:pPr>
        <w:pStyle w:val="Heading1"/>
        <w:pBdr>
          <w:bottom w:val="single" w:color="1F3864" w:sz="6" w:space="4"/>
        </w:pBdr>
        <w:spacing w:after="200" w:before="400"/>
      </w:pPr>
      <w:r>
        <w:rPr>
          <w:b/>
          <w:bCs/>
          <w:color w:val="1F3864"/>
          <w:sz w:val="30"/>
          <w:szCs w:val="30"/>
        </w:rPr>
        <w:t xml:space="preserve">14. Related Policies and Standards</w:t>
      </w:r>
    </w:p>
    <w:p>
      <w:pPr>
        <w:pStyle w:val="ListParagraph"/>
        <w:numPr>
          <w:ilvl w:val="0"/>
          <w:numId w:val="1"/>
        </w:numPr>
        <w:spacing w:after="90" w:line="276"/>
      </w:pPr>
      <w:r>
        <w:rPr>
          <w:sz w:val="21"/>
          <w:szCs w:val="21"/>
        </w:rPr>
        <w:t xml:space="preserve">Information Security Policy</w:t>
      </w:r>
    </w:p>
    <w:p>
      <w:pPr>
        <w:pStyle w:val="ListParagraph"/>
        <w:numPr>
          <w:ilvl w:val="0"/>
          <w:numId w:val="1"/>
        </w:numPr>
        <w:spacing w:after="90" w:line="276"/>
      </w:pPr>
      <w:r>
        <w:rPr>
          <w:sz w:val="21"/>
          <w:szCs w:val="21"/>
        </w:rPr>
        <w:t xml:space="preserve">Acceptable Use Standard</w:t>
      </w:r>
    </w:p>
    <w:p>
      <w:pPr>
        <w:pStyle w:val="ListParagraph"/>
        <w:numPr>
          <w:ilvl w:val="0"/>
          <w:numId w:val="1"/>
        </w:numPr>
        <w:spacing w:after="90" w:line="276"/>
      </w:pPr>
      <w:r>
        <w:rPr>
          <w:sz w:val="21"/>
          <w:szCs w:val="21"/>
        </w:rPr>
        <w:t xml:space="preserve">Access Control Standard</w:t>
      </w:r>
    </w:p>
    <w:p>
      <w:pPr>
        <w:pStyle w:val="ListParagraph"/>
        <w:numPr>
          <w:ilvl w:val="0"/>
          <w:numId w:val="1"/>
        </w:numPr>
        <w:spacing w:after="90" w:line="276"/>
      </w:pPr>
      <w:r>
        <w:rPr>
          <w:sz w:val="21"/>
          <w:szCs w:val="21"/>
        </w:rPr>
        <w:t xml:space="preserve">Data Classification and Handling Standard</w:t>
      </w:r>
    </w:p>
    <w:p>
      <w:pPr>
        <w:pStyle w:val="ListParagraph"/>
        <w:numPr>
          <w:ilvl w:val="0"/>
          <w:numId w:val="1"/>
        </w:numPr>
        <w:spacing w:after="90" w:line="276"/>
      </w:pPr>
      <w:r>
        <w:rPr>
          <w:sz w:val="21"/>
          <w:szCs w:val="21"/>
        </w:rPr>
        <w:t xml:space="preserve">Third-Party Vendor Management Policy</w:t>
      </w:r>
    </w:p>
    <w:p>
      <w:pPr>
        <w:pStyle w:val="ListParagraph"/>
        <w:numPr>
          <w:ilvl w:val="0"/>
          <w:numId w:val="1"/>
        </w:numPr>
        <w:spacing w:after="90" w:line="276"/>
      </w:pPr>
      <w:r>
        <w:rPr>
          <w:sz w:val="21"/>
          <w:szCs w:val="21"/>
        </w:rPr>
        <w:t xml:space="preserve">Incident Response Plan</w:t>
      </w:r>
    </w:p>
    <w:p>
      <w:pPr>
        <w:pStyle w:val="ListParagraph"/>
        <w:numPr>
          <w:ilvl w:val="0"/>
          <w:numId w:val="1"/>
        </w:numPr>
        <w:spacing w:after="90" w:line="276"/>
      </w:pPr>
      <w:r>
        <w:rPr>
          <w:sz w:val="21"/>
          <w:szCs w:val="21"/>
        </w:rPr>
        <w:t xml:space="preserve">Cloud Security and Shared Responsibility Standard</w:t>
      </w:r>
    </w:p>
    <w:p>
      <w:pPr>
        <w:pStyle w:val="Heading1"/>
        <w:pBdr>
          <w:bottom w:val="single" w:color="1F3864" w:sz="6" w:space="4"/>
        </w:pBdr>
        <w:spacing w:after="200" w:before="400"/>
      </w:pPr>
      <w:r>
        <w:rPr>
          <w:b/>
          <w:bCs/>
          <w:color w:val="1F3864"/>
          <w:sz w:val="30"/>
          <w:szCs w:val="30"/>
        </w:rPr>
        <w:t xml:space="preserve">15. 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4100"/>
        <w:gridCol w:w="1500"/>
        <w:gridCol w:w="1300"/>
      </w:tblGrid>
      <w:tr>
        <w:trPr>
          <w:tblHeader/>
        </w:trPr>
        <w:tc>
          <w:tcPr>
            <w:tcW w:type="dxa" w:w="1100"/>
            <w:shd w:fill="1F3864" w:val="clear"/>
            <w:tcMar>
              <w:top w:type="dxa" w:w="80"/>
              <w:left w:type="dxa" w:w="100"/>
              <w:bottom w:type="dxa" w:w="80"/>
              <w:right w:type="dxa" w:w="100"/>
            </w:tcMar>
            <w:vAlign w:val="center"/>
          </w:tcPr>
          <w:p>
            <w:pPr>
              <w:spacing w:after="40"/>
            </w:pPr>
            <w:r>
              <w:rPr>
                <w:b/>
                <w:bCs/>
                <w:color w:val="FFFFFF"/>
                <w:sz w:val="20"/>
                <w:szCs w:val="20"/>
              </w:rPr>
              <w:t xml:space="preserve">Version</w:t>
            </w:r>
          </w:p>
        </w:tc>
        <w:tc>
          <w:tcPr>
            <w:tcW w:type="dxa" w:w="1400"/>
            <w:shd w:fill="1F3864" w:val="clear"/>
            <w:tcMar>
              <w:top w:type="dxa" w:w="80"/>
              <w:left w:type="dxa" w:w="100"/>
              <w:bottom w:type="dxa" w:w="80"/>
              <w:right w:type="dxa" w:w="100"/>
            </w:tcMar>
            <w:vAlign w:val="center"/>
          </w:tcPr>
          <w:p>
            <w:pPr>
              <w:spacing w:after="40"/>
            </w:pPr>
            <w:r>
              <w:rPr>
                <w:b/>
                <w:bCs/>
                <w:color w:val="FFFFFF"/>
                <w:sz w:val="20"/>
                <w:szCs w:val="20"/>
              </w:rPr>
              <w:t xml:space="preserve">Date</w:t>
            </w:r>
          </w:p>
        </w:tc>
        <w:tc>
          <w:tcPr>
            <w:tcW w:type="dxa" w:w="4100"/>
            <w:shd w:fill="1F3864" w:val="clear"/>
            <w:tcMar>
              <w:top w:type="dxa" w:w="80"/>
              <w:left w:type="dxa" w:w="100"/>
              <w:bottom w:type="dxa" w:w="80"/>
              <w:right w:type="dxa" w:w="100"/>
            </w:tcMar>
            <w:vAlign w:val="center"/>
          </w:tcPr>
          <w:p>
            <w:pPr>
              <w:spacing w:after="40"/>
            </w:pPr>
            <w:r>
              <w:rPr>
                <w:b/>
                <w:bCs/>
                <w:color w:val="FFFFFF"/>
                <w:sz w:val="20"/>
                <w:szCs w:val="20"/>
              </w:rPr>
              <w:t xml:space="preserve">Details</w:t>
            </w:r>
          </w:p>
        </w:tc>
        <w:tc>
          <w:tcPr>
            <w:tcW w:type="dxa" w:w="1500"/>
            <w:shd w:fill="1F3864" w:val="clear"/>
            <w:tcMar>
              <w:top w:type="dxa" w:w="80"/>
              <w:left w:type="dxa" w:w="100"/>
              <w:bottom w:type="dxa" w:w="80"/>
              <w:right w:type="dxa" w:w="100"/>
            </w:tcMar>
            <w:vAlign w:val="center"/>
          </w:tcPr>
          <w:p>
            <w:pPr>
              <w:spacing w:after="40"/>
            </w:pPr>
            <w:r>
              <w:rPr>
                <w:b/>
                <w:bCs/>
                <w:color w:val="FFFFFF"/>
                <w:sz w:val="20"/>
                <w:szCs w:val="20"/>
              </w:rPr>
              <w:t xml:space="preserve">Author</w:t>
            </w:r>
          </w:p>
        </w:tc>
        <w:tc>
          <w:tcPr>
            <w:tcW w:type="dxa" w:w="1300"/>
            <w:shd w:fill="1F3864" w:val="clear"/>
            <w:tcMar>
              <w:top w:type="dxa" w:w="80"/>
              <w:left w:type="dxa" w:w="100"/>
              <w:bottom w:type="dxa" w:w="80"/>
              <w:right w:type="dxa" w:w="100"/>
            </w:tcMar>
            <w:vAlign w:val="center"/>
          </w:tcPr>
          <w:p>
            <w:pPr>
              <w:spacing w:after="40"/>
            </w:pPr>
            <w:r>
              <w:rPr>
                <w:b/>
                <w:bCs/>
                <w:color w:val="FFFFFF"/>
                <w:sz w:val="20"/>
                <w:szCs w:val="20"/>
              </w:rPr>
              <w:t xml:space="preserve">Approved</w:t>
            </w:r>
          </w:p>
        </w:tc>
      </w:tr>
      <w:tr>
        <w:tc>
          <w:tcPr>
            <w:tcW w:type="dxa" w:w="1100"/>
            <w:tcMar>
              <w:top w:type="dxa" w:w="80"/>
              <w:left w:type="dxa" w:w="100"/>
              <w:bottom w:type="dxa" w:w="80"/>
              <w:right w:type="dxa" w:w="100"/>
            </w:tcMar>
          </w:tcPr>
          <w:p>
            <w:pPr>
              <w:spacing w:after="40"/>
            </w:pPr>
            <w:r>
              <w:rPr>
                <w:sz w:val="20"/>
                <w:szCs w:val="20"/>
              </w:rPr>
              <w:t xml:space="preserve">1.0</w:t>
            </w:r>
          </w:p>
        </w:tc>
        <w:tc>
          <w:tcPr>
            <w:tcW w:type="dxa" w:w="1400"/>
            <w:tcMar>
              <w:top w:type="dxa" w:w="80"/>
              <w:left w:type="dxa" w:w="100"/>
              <w:bottom w:type="dxa" w:w="80"/>
              <w:right w:type="dxa" w:w="100"/>
            </w:tcMar>
          </w:tcPr>
          <w:p>
            <w:pPr>
              <w:spacing w:after="40"/>
            </w:pPr>
            <w:r>
              <w:rPr>
                <w:sz w:val="20"/>
                <w:szCs w:val="20"/>
              </w:rPr>
              <w:t xml:space="preserve">30/07/2026</w:t>
            </w:r>
          </w:p>
        </w:tc>
        <w:tc>
          <w:tcPr>
            <w:tcW w:type="dxa" w:w="4100"/>
            <w:tcMar>
              <w:top w:type="dxa" w:w="80"/>
              <w:left w:type="dxa" w:w="100"/>
              <w:bottom w:type="dxa" w:w="80"/>
              <w:right w:type="dxa" w:w="100"/>
            </w:tcMar>
          </w:tcPr>
          <w:p>
            <w:pPr>
              <w:spacing w:after="40"/>
            </w:pPr>
            <w:r>
              <w:rPr>
                <w:sz w:val="20"/>
                <w:szCs w:val="20"/>
              </w:rPr>
              <w:t xml:space="preserve">Initial issue of the Password and Access Control Policy, approved by the Board Risk &amp; Audit Committee</w:t>
            </w:r>
          </w:p>
        </w:tc>
        <w:tc>
          <w:tcPr>
            <w:tcW w:type="dxa" w:w="1500"/>
            <w:tcMar>
              <w:top w:type="dxa" w:w="80"/>
              <w:left w:type="dxa" w:w="100"/>
              <w:bottom w:type="dxa" w:w="80"/>
              <w:right w:type="dxa" w:w="100"/>
            </w:tcMar>
          </w:tcPr>
          <w:p>
            <w:pPr>
              <w:spacing w:after="40"/>
            </w:pPr>
            <w:r>
              <w:rPr>
                <w:sz w:val="20"/>
                <w:szCs w:val="20"/>
              </w:rPr>
              <w:t xml:space="preserve">CISO</w:t>
            </w:r>
          </w:p>
        </w:tc>
        <w:tc>
          <w:tcPr>
            <w:tcW w:type="dxa" w:w="1300"/>
            <w:tcMar>
              <w:top w:type="dxa" w:w="80"/>
              <w:left w:type="dxa" w:w="100"/>
              <w:bottom w:type="dxa" w:w="80"/>
              <w:right w:type="dxa" w:w="100"/>
            </w:tcMar>
          </w:tcPr>
          <w:p>
            <w:pPr>
              <w:spacing w:after="40"/>
            </w:pPr>
            <w:r>
              <w:rPr>
                <w:sz w:val="20"/>
                <w:szCs w:val="20"/>
              </w:rPr>
              <w:t xml:space="preserve">Approved</w:t>
            </w:r>
          </w:p>
        </w:tc>
      </w:tr>
    </w:tbl>
    <w:p>
      <w:pPr>
        <w:spacing w:after="150" w:line="276"/>
      </w:pPr>
    </w:p>
    <w:p>
      <w:pPr>
        <w:spacing w:before="500"/>
      </w:pPr>
      <w:r>
        <w:rPr>
          <w:b/>
          <w:bCs/>
          <w:color w:val="1F3864"/>
          <w:sz w:val="24"/>
          <w:szCs w:val="24"/>
        </w:rPr>
        <w:t xml:space="preserve">Document Approval</w:t>
      </w:r>
    </w:p>
    <w:p>
      <w:pPr>
        <w:spacing w:after="150" w:line="276"/>
      </w:pPr>
      <w:r>
        <w:rPr>
          <w:sz w:val="21"/>
          <w:szCs w:val="21"/>
        </w:rPr>
        <w:t xml:space="preserve">This Policy is approved for issue by the Board Risk &amp; Audit Committee of Falcon Freight Solutions and is effective from the date stated on the cover page.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Internal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Falcon Freight Solutions — Password &amp; Access Control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2026-07-30T22:57:08.240Z</dcterms:created>
  <dcterms:modified xsi:type="dcterms:W3CDTF">2026-07-30T22:57:08.252Z</dcterms:modified>
</cp:coreProperties>
</file>

<file path=docProps/custom.xml><?xml version="1.0" encoding="utf-8"?>
<Properties xmlns="http://schemas.openxmlformats.org/officeDocument/2006/custom-properties" xmlns:vt="http://schemas.openxmlformats.org/officeDocument/2006/docPropsVTypes"/>
</file>